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"/>
        <w:gridCol w:w="2247"/>
        <w:gridCol w:w="100"/>
        <w:gridCol w:w="7420"/>
        <w:gridCol w:w="4380"/>
        <w:gridCol w:w="1166"/>
      </w:tblGrid>
      <w:tr w:rsidR="00017B45" w:rsidTr="00017B45">
        <w:trPr>
          <w:trHeight w:val="593"/>
        </w:trPr>
        <w:tc>
          <w:tcPr>
            <w:tcW w:w="47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47"/>
            </w:tblGrid>
            <w:tr w:rsidR="00E05D53">
              <w:trPr>
                <w:trHeight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5D53" w:rsidRDefault="00776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PRIJEDLOG POPISA udruga kojima nisu odobrena financijska sredstva iz Proračuna Grada Zagreba za 2018.</w:t>
                  </w:r>
                </w:p>
              </w:tc>
            </w:tr>
          </w:tbl>
          <w:p w:rsidR="00E05D53" w:rsidRDefault="00E05D53">
            <w:pPr>
              <w:spacing w:after="0" w:line="240" w:lineRule="auto"/>
            </w:pPr>
          </w:p>
        </w:tc>
        <w:tc>
          <w:tcPr>
            <w:tcW w:w="1417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</w:tr>
      <w:tr w:rsidR="00E05D53">
        <w:trPr>
          <w:trHeight w:val="180"/>
        </w:trPr>
        <w:tc>
          <w:tcPr>
            <w:tcW w:w="47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</w:tr>
      <w:tr w:rsidR="00E05D53">
        <w:trPr>
          <w:trHeight w:val="340"/>
        </w:trPr>
        <w:tc>
          <w:tcPr>
            <w:tcW w:w="47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E05D53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D53" w:rsidRDefault="00776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E05D53" w:rsidRDefault="00E05D53">
            <w:pPr>
              <w:spacing w:after="0" w:line="240" w:lineRule="auto"/>
            </w:pPr>
          </w:p>
        </w:tc>
        <w:tc>
          <w:tcPr>
            <w:tcW w:w="100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20"/>
            </w:tblGrid>
            <w:tr w:rsidR="00E05D53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D53" w:rsidRDefault="00776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2018.</w:t>
                  </w:r>
                </w:p>
              </w:tc>
            </w:tr>
          </w:tbl>
          <w:p w:rsidR="00E05D53" w:rsidRDefault="00E05D53">
            <w:pPr>
              <w:spacing w:after="0" w:line="240" w:lineRule="auto"/>
            </w:pPr>
          </w:p>
        </w:tc>
        <w:tc>
          <w:tcPr>
            <w:tcW w:w="5069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</w:tr>
      <w:tr w:rsidR="00E05D53">
        <w:trPr>
          <w:trHeight w:val="100"/>
        </w:trPr>
        <w:tc>
          <w:tcPr>
            <w:tcW w:w="47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</w:tr>
      <w:tr w:rsidR="00E05D53">
        <w:trPr>
          <w:trHeight w:val="340"/>
        </w:trPr>
        <w:tc>
          <w:tcPr>
            <w:tcW w:w="47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E05D53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D53" w:rsidRDefault="00776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E05D53" w:rsidRDefault="00E05D53">
            <w:pPr>
              <w:spacing w:after="0" w:line="240" w:lineRule="auto"/>
            </w:pPr>
          </w:p>
        </w:tc>
        <w:tc>
          <w:tcPr>
            <w:tcW w:w="100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20"/>
            </w:tblGrid>
            <w:tr w:rsidR="00E05D53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D53" w:rsidRDefault="00776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GRADSKI URED ZA SPORT I MLADE</w:t>
                  </w:r>
                </w:p>
              </w:tc>
            </w:tr>
          </w:tbl>
          <w:p w:rsidR="00E05D53" w:rsidRDefault="00E05D53">
            <w:pPr>
              <w:spacing w:after="0" w:line="240" w:lineRule="auto"/>
            </w:pPr>
          </w:p>
        </w:tc>
        <w:tc>
          <w:tcPr>
            <w:tcW w:w="5069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</w:tr>
      <w:tr w:rsidR="00E05D53">
        <w:trPr>
          <w:trHeight w:val="59"/>
        </w:trPr>
        <w:tc>
          <w:tcPr>
            <w:tcW w:w="47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</w:tr>
      <w:tr w:rsidR="00E05D53">
        <w:trPr>
          <w:trHeight w:val="20"/>
        </w:trPr>
        <w:tc>
          <w:tcPr>
            <w:tcW w:w="47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E05D53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D53" w:rsidRDefault="00776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E05D53" w:rsidRDefault="00E05D53">
            <w:pPr>
              <w:spacing w:after="0" w:line="240" w:lineRule="auto"/>
            </w:pPr>
          </w:p>
        </w:tc>
        <w:tc>
          <w:tcPr>
            <w:tcW w:w="100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</w:tr>
      <w:tr w:rsidR="00E05D53">
        <w:trPr>
          <w:trHeight w:val="320"/>
        </w:trPr>
        <w:tc>
          <w:tcPr>
            <w:tcW w:w="47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vMerge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20"/>
            </w:tblGrid>
            <w:tr w:rsidR="00E05D53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D53" w:rsidRDefault="00776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Potpora vrhunskom sportu</w:t>
                  </w:r>
                </w:p>
              </w:tc>
            </w:tr>
          </w:tbl>
          <w:p w:rsidR="00E05D53" w:rsidRDefault="00E05D53">
            <w:pPr>
              <w:spacing w:after="0" w:line="240" w:lineRule="auto"/>
            </w:pPr>
          </w:p>
        </w:tc>
        <w:tc>
          <w:tcPr>
            <w:tcW w:w="5069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</w:tr>
      <w:tr w:rsidR="00E05D53">
        <w:trPr>
          <w:trHeight w:val="20"/>
        </w:trPr>
        <w:tc>
          <w:tcPr>
            <w:tcW w:w="47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  <w:vMerge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</w:tr>
      <w:tr w:rsidR="00E05D53">
        <w:trPr>
          <w:trHeight w:val="440"/>
        </w:trPr>
        <w:tc>
          <w:tcPr>
            <w:tcW w:w="47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</w:tr>
      <w:tr w:rsidR="00017B45" w:rsidTr="00017B45">
        <w:tc>
          <w:tcPr>
            <w:tcW w:w="47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1842"/>
              <w:gridCol w:w="4543"/>
              <w:gridCol w:w="1321"/>
              <w:gridCol w:w="2940"/>
              <w:gridCol w:w="2372"/>
            </w:tblGrid>
            <w:tr w:rsidR="00781FEE">
              <w:trPr>
                <w:trHeight w:val="92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5D53" w:rsidRDefault="00776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5D53" w:rsidRDefault="00776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5D53" w:rsidRDefault="00776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5D53" w:rsidRDefault="00776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5D53" w:rsidRDefault="00776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Razlozi neodobravanja financijske potpore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5D53" w:rsidRDefault="00776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</w:tr>
            <w:tr w:rsidR="00121CB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D53" w:rsidRDefault="00776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D53" w:rsidRDefault="00776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D53" w:rsidRDefault="00776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D53" w:rsidRDefault="00776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D53" w:rsidRDefault="00776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D53" w:rsidRDefault="00776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</w:tr>
            <w:tr w:rsidR="00017B45" w:rsidTr="00017B45">
              <w:trPr>
                <w:trHeight w:val="262"/>
              </w:trPr>
              <w:tc>
                <w:tcPr>
                  <w:tcW w:w="1237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5D53" w:rsidRDefault="00776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Potpora vrhunskom sportu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5D53" w:rsidRDefault="00E05D53">
                  <w:pPr>
                    <w:spacing w:after="0" w:line="240" w:lineRule="auto"/>
                  </w:pPr>
                </w:p>
              </w:tc>
            </w:tr>
            <w:tr w:rsidR="00017B45" w:rsidTr="00017B45">
              <w:trPr>
                <w:trHeight w:val="262"/>
              </w:trPr>
              <w:tc>
                <w:tcPr>
                  <w:tcW w:w="123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5D53" w:rsidRDefault="00776C5C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Nije odabran prioritet</w:t>
                  </w:r>
                </w:p>
              </w:tc>
            </w:tr>
            <w:tr w:rsidR="00121CB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5D53" w:rsidRDefault="00776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5D53" w:rsidRDefault="00776C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Kosarkaski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Cedevita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5D53" w:rsidRDefault="000C75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Razvojni programi i projekti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Koš</w:t>
                  </w:r>
                  <w:r w:rsidR="00776C5C">
                    <w:rPr>
                      <w:rFonts w:ascii="Arial" w:eastAsia="Arial" w:hAnsi="Arial"/>
                      <w:color w:val="000000"/>
                      <w:sz w:val="18"/>
                    </w:rPr>
                    <w:t>arkakog</w:t>
                  </w:r>
                  <w:proofErr w:type="spellEnd"/>
                  <w:r w:rsidR="00776C5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kluba Cedevita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5D53" w:rsidRDefault="00776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05D53" w:rsidRDefault="00776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odluci Povjer</w:t>
                  </w:r>
                  <w:r w:rsidR="00017B45">
                    <w:rPr>
                      <w:rFonts w:ascii="Arial" w:eastAsia="Arial" w:hAnsi="Arial"/>
                      <w:color w:val="000000"/>
                      <w:sz w:val="18"/>
                    </w:rPr>
                    <w:t>enstva za ocjenjivanje prijavlje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nih programa/projekata udruga iz </w:t>
                  </w:r>
                  <w:r w:rsidR="00017B45">
                    <w:rPr>
                      <w:rFonts w:ascii="Arial" w:eastAsia="Arial" w:hAnsi="Arial"/>
                      <w:color w:val="000000"/>
                      <w:sz w:val="18"/>
                    </w:rPr>
                    <w:t>područja vrhunskog sporta, proj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</w:t>
                  </w:r>
                  <w:r w:rsidR="00017B45"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 je ocijenjen s nedovoljnim brojem bodova za dodjelu financijske potpore</w:t>
                  </w:r>
                  <w:r w:rsidR="00121CB1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1CB1" w:rsidRDefault="00776C5C" w:rsidP="00121CB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Ocijenjeno prema kriterijima Javnog natječaja i načinu bodovanja </w:t>
                  </w:r>
                  <w:r w:rsidR="00121CB1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koje </w:t>
                  </w:r>
                  <w:r w:rsidR="001E43E2">
                    <w:rPr>
                      <w:rFonts w:ascii="Arial" w:eastAsia="Arial" w:hAnsi="Arial"/>
                      <w:color w:val="000000"/>
                      <w:sz w:val="18"/>
                    </w:rPr>
                    <w:t>se sastoji od opisnog dijela</w:t>
                  </w:r>
                  <w:r w:rsidR="00121CB1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brojčane ocjene programa/projekta.</w:t>
                  </w:r>
                </w:p>
                <w:p w:rsidR="00121CB1" w:rsidRDefault="00781FEE" w:rsidP="00121CB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Povjerenstvo je razmatralo najveća europska dostignuća Klubova nositelja kvalitete</w:t>
                  </w:r>
                  <w:r w:rsidR="00721567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pri čemu je Košarkaškom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klubu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Cedevita </w:t>
                  </w:r>
                  <w:r w:rsidR="005D182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jednoglasno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dan negativan komentar. </w:t>
                  </w:r>
                  <w:r w:rsidR="00496B61">
                    <w:rPr>
                      <w:rFonts w:ascii="Arial" w:eastAsia="Arial" w:hAnsi="Arial"/>
                      <w:color w:val="000000"/>
                      <w:sz w:val="18"/>
                    </w:rPr>
                    <w:t>P</w:t>
                  </w:r>
                  <w:r w:rsidR="00121CB1">
                    <w:rPr>
                      <w:rFonts w:ascii="Arial" w:eastAsia="Arial" w:hAnsi="Arial"/>
                      <w:color w:val="000000"/>
                      <w:sz w:val="18"/>
                    </w:rPr>
                    <w:t>otom se ocje</w:t>
                  </w:r>
                  <w:r w:rsidR="001906A8">
                    <w:rPr>
                      <w:rFonts w:ascii="Arial" w:eastAsia="Arial" w:hAnsi="Arial"/>
                      <w:color w:val="000000"/>
                      <w:sz w:val="18"/>
                    </w:rPr>
                    <w:t>njivalo</w:t>
                  </w:r>
                  <w:r w:rsidR="00121CB1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 w:rsidR="001906A8">
                    <w:rPr>
                      <w:rFonts w:ascii="Arial" w:eastAsia="Arial" w:hAnsi="Arial"/>
                      <w:color w:val="000000"/>
                      <w:sz w:val="18"/>
                    </w:rPr>
                    <w:t>I. Podmirenje troškova europskih natjecanja kroz raspoređena sredstva , II. Opravdanost troškova te III. K</w:t>
                  </w:r>
                  <w:r w:rsidR="00121CB1">
                    <w:rPr>
                      <w:rFonts w:ascii="Arial" w:eastAsia="Arial" w:hAnsi="Arial"/>
                      <w:color w:val="000000"/>
                      <w:sz w:val="18"/>
                    </w:rPr>
                    <w:t>valiteta programa, organiziranost programa, interes javnosti</w:t>
                  </w:r>
                  <w:r w:rsidR="00496B61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  <w:p w:rsidR="00121CB1" w:rsidRDefault="001906A8" w:rsidP="00121CB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Košarkaški klub Cedevita je ostvario ukupan broj bodova </w:t>
                  </w:r>
                  <w:r w:rsidR="00C67B29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9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 w:rsidR="001E43E2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Pod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I. </w:t>
                  </w:r>
                  <w:r w:rsidR="00496B61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zbirna ocjena svih članova </w:t>
                  </w:r>
                  <w:r w:rsidR="000C7592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Povjerenstva iznosi </w:t>
                  </w:r>
                  <w:r w:rsidR="00966C0B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  <w:r w:rsidR="000C7592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r w:rsidR="001E43E2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pod </w:t>
                  </w:r>
                  <w:r w:rsidR="000C7592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II. zbirna ocjena svih članova Povjerenstva iznosi 3, a </w:t>
                  </w:r>
                  <w:r w:rsidR="001E43E2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pod III. </w:t>
                  </w:r>
                  <w:r w:rsidR="000C7592">
                    <w:rPr>
                      <w:rFonts w:ascii="Arial" w:eastAsia="Arial" w:hAnsi="Arial"/>
                      <w:color w:val="000000"/>
                      <w:sz w:val="18"/>
                    </w:rPr>
                    <w:t>zbirna ocjena svih članova Povjerenstva iznosi</w:t>
                  </w:r>
                  <w:r w:rsidR="00966C0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</w:t>
                  </w:r>
                  <w:r w:rsidR="000C7592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  <w:p w:rsidR="00E05D53" w:rsidRDefault="00E05D53" w:rsidP="00121CB1">
                  <w:pPr>
                    <w:spacing w:after="0" w:line="240" w:lineRule="auto"/>
                  </w:pPr>
                </w:p>
              </w:tc>
            </w:tr>
          </w:tbl>
          <w:p w:rsidR="00E05D53" w:rsidRDefault="00E05D53">
            <w:pPr>
              <w:spacing w:after="0" w:line="240" w:lineRule="auto"/>
            </w:pPr>
          </w:p>
        </w:tc>
        <w:tc>
          <w:tcPr>
            <w:tcW w:w="1417" w:type="dxa"/>
          </w:tcPr>
          <w:p w:rsidR="00E05D53" w:rsidRDefault="00E05D53">
            <w:pPr>
              <w:pStyle w:val="EmptyCellLayoutStyle"/>
              <w:spacing w:after="0" w:line="240" w:lineRule="auto"/>
            </w:pPr>
          </w:p>
        </w:tc>
      </w:tr>
    </w:tbl>
    <w:p w:rsidR="00E05D53" w:rsidRDefault="00E05D53">
      <w:pPr>
        <w:spacing w:after="0" w:line="240" w:lineRule="auto"/>
      </w:pPr>
    </w:p>
    <w:p w:rsidR="00017B45" w:rsidRDefault="00017B45">
      <w:pPr>
        <w:spacing w:after="0" w:line="240" w:lineRule="auto"/>
      </w:pPr>
    </w:p>
    <w:p w:rsidR="00017B45" w:rsidRPr="00017B45" w:rsidRDefault="00017B45" w:rsidP="00017B45">
      <w:pPr>
        <w:tabs>
          <w:tab w:val="center" w:pos="4536"/>
          <w:tab w:val="right" w:pos="9072"/>
        </w:tabs>
        <w:spacing w:after="0" w:line="240" w:lineRule="auto"/>
        <w:rPr>
          <w:sz w:val="28"/>
          <w:szCs w:val="28"/>
        </w:rPr>
      </w:pPr>
      <w:r w:rsidRPr="00017B45">
        <w:rPr>
          <w:sz w:val="28"/>
          <w:szCs w:val="28"/>
        </w:rPr>
        <w:t xml:space="preserve">Nakon provedenog Javnog natječaja za financiranje programa i projekata udruga iz područja Vrhunskog sporta iz Proračuna Grada Zagreba za 2018. objavljenog dana 05. travnja 2018, sukladno članku 21. Pravilnika o financiranju udruga iz proračuna Grada Zagreb, Povjerenstvo donosi prijedlog Popisa udruga kojima </w:t>
      </w:r>
      <w:r>
        <w:rPr>
          <w:sz w:val="28"/>
          <w:szCs w:val="28"/>
        </w:rPr>
        <w:t>ni</w:t>
      </w:r>
      <w:r w:rsidRPr="00017B45">
        <w:rPr>
          <w:sz w:val="28"/>
          <w:szCs w:val="28"/>
        </w:rPr>
        <w:t>su odobrena financijska sredstva iz Grada Zagreba koji će biti objavljen na internetskih s</w:t>
      </w:r>
      <w:r w:rsidR="00781FEE">
        <w:rPr>
          <w:sz w:val="28"/>
          <w:szCs w:val="28"/>
        </w:rPr>
        <w:t>tranicama Grada Zagreba 17</w:t>
      </w:r>
      <w:r w:rsidRPr="00017B45">
        <w:rPr>
          <w:sz w:val="28"/>
          <w:szCs w:val="28"/>
        </w:rPr>
        <w:t xml:space="preserve">. listopada 2018. Rok za podnošenje prigovora na popis je osam dana od dana objave zaključno </w:t>
      </w:r>
      <w:r w:rsidR="00781FEE">
        <w:rPr>
          <w:sz w:val="28"/>
          <w:szCs w:val="28"/>
        </w:rPr>
        <w:t>25</w:t>
      </w:r>
      <w:r w:rsidRPr="00017B45">
        <w:rPr>
          <w:sz w:val="28"/>
          <w:szCs w:val="28"/>
        </w:rPr>
        <w:t>. listopada 2018. Prigovor se podnosi gradonačelniku Grada Zagreba, u pisanom obliku, putem Gradskog ureda za sport  i mlade, Ilica 25, 10 000 Zagreb.</w:t>
      </w:r>
    </w:p>
    <w:p w:rsidR="00017B45" w:rsidRDefault="00017B45">
      <w:pPr>
        <w:spacing w:after="0" w:line="240" w:lineRule="auto"/>
      </w:pPr>
    </w:p>
    <w:sectPr w:rsidR="00017B45" w:rsidSect="00B73421">
      <w:footerReference w:type="default" r:id="rId8"/>
      <w:pgSz w:w="18188" w:h="11905" w:orient="landscape"/>
      <w:pgMar w:top="1418" w:right="1418" w:bottom="1418" w:left="1418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E89" w:rsidRDefault="00993E89">
      <w:pPr>
        <w:spacing w:after="0" w:line="240" w:lineRule="auto"/>
      </w:pPr>
      <w:r>
        <w:separator/>
      </w:r>
    </w:p>
  </w:endnote>
  <w:endnote w:type="continuationSeparator" w:id="0">
    <w:p w:rsidR="00993E89" w:rsidRDefault="00993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16"/>
      <w:gridCol w:w="5605"/>
      <w:gridCol w:w="2967"/>
      <w:gridCol w:w="1264"/>
    </w:tblGrid>
    <w:tr w:rsidR="00E05D53">
      <w:tc>
        <w:tcPr>
          <w:tcW w:w="6089" w:type="dxa"/>
        </w:tcPr>
        <w:p w:rsidR="00E05D53" w:rsidRDefault="00E05D53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E05D53" w:rsidRDefault="00E05D53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E05D53" w:rsidRDefault="00E05D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05D53" w:rsidRDefault="00E05D53">
          <w:pPr>
            <w:pStyle w:val="EmptyCellLayoutStyle"/>
            <w:spacing w:after="0" w:line="240" w:lineRule="auto"/>
          </w:pPr>
        </w:p>
      </w:tc>
    </w:tr>
    <w:tr w:rsidR="00E05D53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516"/>
          </w:tblGrid>
          <w:tr w:rsidR="00E05D53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05D53" w:rsidRDefault="00365BEE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17</w:t>
                </w:r>
                <w:r w:rsidR="00581732">
                  <w:rPr>
                    <w:rFonts w:ascii="Tahoma" w:eastAsia="Tahoma" w:hAnsi="Tahoma"/>
                    <w:color w:val="000000"/>
                    <w:sz w:val="14"/>
                  </w:rPr>
                  <w:t xml:space="preserve">.10.2018. </w:t>
                </w:r>
              </w:p>
            </w:tc>
          </w:tr>
        </w:tbl>
        <w:p w:rsidR="00E05D53" w:rsidRDefault="00E05D53">
          <w:pPr>
            <w:spacing w:after="0" w:line="240" w:lineRule="auto"/>
          </w:pPr>
        </w:p>
      </w:tc>
      <w:tc>
        <w:tcPr>
          <w:tcW w:w="6287" w:type="dxa"/>
        </w:tcPr>
        <w:p w:rsidR="00E05D53" w:rsidRDefault="00E05D53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E05D53" w:rsidRDefault="00E05D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05D53" w:rsidRDefault="00E05D53">
          <w:pPr>
            <w:pStyle w:val="EmptyCellLayoutStyle"/>
            <w:spacing w:after="0" w:line="240" w:lineRule="auto"/>
          </w:pPr>
        </w:p>
      </w:tc>
    </w:tr>
    <w:tr w:rsidR="00E05D53">
      <w:tc>
        <w:tcPr>
          <w:tcW w:w="6089" w:type="dxa"/>
          <w:vMerge/>
        </w:tcPr>
        <w:p w:rsidR="00E05D53" w:rsidRDefault="00E05D53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E05D53" w:rsidRDefault="00E05D53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967"/>
          </w:tblGrid>
          <w:tr w:rsidR="00E05D53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05D53" w:rsidRDefault="00776C5C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E05D53" w:rsidRDefault="00E05D53">
          <w:pPr>
            <w:spacing w:after="0" w:line="240" w:lineRule="auto"/>
          </w:pPr>
        </w:p>
      </w:tc>
      <w:tc>
        <w:tcPr>
          <w:tcW w:w="1417" w:type="dxa"/>
        </w:tcPr>
        <w:p w:rsidR="00E05D53" w:rsidRDefault="00E05D53">
          <w:pPr>
            <w:pStyle w:val="EmptyCellLayoutStyle"/>
            <w:spacing w:after="0" w:line="240" w:lineRule="auto"/>
          </w:pPr>
        </w:p>
      </w:tc>
    </w:tr>
    <w:tr w:rsidR="00E05D53">
      <w:tc>
        <w:tcPr>
          <w:tcW w:w="6089" w:type="dxa"/>
        </w:tcPr>
        <w:p w:rsidR="00E05D53" w:rsidRDefault="00E05D53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E05D53" w:rsidRDefault="00E05D53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E05D53" w:rsidRDefault="00E05D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05D53" w:rsidRDefault="00E05D5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E89" w:rsidRDefault="00993E89">
      <w:pPr>
        <w:spacing w:after="0" w:line="240" w:lineRule="auto"/>
      </w:pPr>
      <w:r>
        <w:separator/>
      </w:r>
    </w:p>
  </w:footnote>
  <w:footnote w:type="continuationSeparator" w:id="0">
    <w:p w:rsidR="00993E89" w:rsidRDefault="00993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53"/>
    <w:rsid w:val="00017B45"/>
    <w:rsid w:val="000C7592"/>
    <w:rsid w:val="00121CB1"/>
    <w:rsid w:val="001906A8"/>
    <w:rsid w:val="001E43E2"/>
    <w:rsid w:val="00365BEE"/>
    <w:rsid w:val="00496B61"/>
    <w:rsid w:val="00581732"/>
    <w:rsid w:val="005D182B"/>
    <w:rsid w:val="005D5955"/>
    <w:rsid w:val="00721567"/>
    <w:rsid w:val="00776C5C"/>
    <w:rsid w:val="00781FEE"/>
    <w:rsid w:val="008220BD"/>
    <w:rsid w:val="00966C0B"/>
    <w:rsid w:val="00993E89"/>
    <w:rsid w:val="00B73421"/>
    <w:rsid w:val="00C67B29"/>
    <w:rsid w:val="00E05D53"/>
    <w:rsid w:val="00E4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822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20BD"/>
  </w:style>
  <w:style w:type="paragraph" w:styleId="Podnoje">
    <w:name w:val="footer"/>
    <w:basedOn w:val="Normal"/>
    <w:link w:val="PodnojeChar"/>
    <w:uiPriority w:val="99"/>
    <w:unhideWhenUsed/>
    <w:rsid w:val="00822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20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822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20BD"/>
  </w:style>
  <w:style w:type="paragraph" w:styleId="Podnoje">
    <w:name w:val="footer"/>
    <w:basedOn w:val="Normal"/>
    <w:link w:val="PodnojeChar"/>
    <w:uiPriority w:val="99"/>
    <w:unhideWhenUsed/>
    <w:rsid w:val="00822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2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RS_04_ListOfAssociationsForWhichFundsAreDeniedAfterEvaulatedForYear</vt:lpstr>
    </vt:vector>
  </TitlesOfParts>
  <Company>Grad Zagreb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RS_04_ListOfAssociationsForWhichFundsAreDeniedAfterEvaulatedForYear</dc:title>
  <dc:creator>Andrea Pintar</dc:creator>
  <cp:lastModifiedBy>Andrea Pintar</cp:lastModifiedBy>
  <cp:revision>14</cp:revision>
  <cp:lastPrinted>2018-10-17T06:56:00Z</cp:lastPrinted>
  <dcterms:created xsi:type="dcterms:W3CDTF">2018-10-15T10:15:00Z</dcterms:created>
  <dcterms:modified xsi:type="dcterms:W3CDTF">2018-10-17T07:49:00Z</dcterms:modified>
</cp:coreProperties>
</file>