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1AB" w:rsidRDefault="005001AB" w:rsidP="005001AB">
      <w:pPr>
        <w:spacing w:after="0" w:line="240" w:lineRule="auto"/>
        <w:jc w:val="both"/>
        <w:rPr>
          <w:rFonts w:ascii="Times New Roman" w:hAnsi="Times New Roman" w:cs="Times New Roman"/>
          <w:b/>
        </w:rPr>
      </w:pPr>
      <w:r w:rsidRPr="00734845">
        <w:rPr>
          <w:rFonts w:ascii="Times New Roman" w:hAnsi="Times New Roman" w:cs="Times New Roman"/>
          <w:b/>
        </w:rPr>
        <w:t xml:space="preserve">DOKAZ DA JE VLASNIK GRAĐEVINSKOG ZEMLJIŠTA ISPUNIO SVOJU DUŽNOST PRIJENOSA DIJELA ZEMLJIŠTA ODNOSNO SKLAPANJA UGOVORA O OSNIVANJU SLUŽNOSTI </w:t>
      </w:r>
    </w:p>
    <w:p w:rsidR="005001AB" w:rsidRPr="00734845" w:rsidRDefault="005001AB" w:rsidP="005001AB">
      <w:pPr>
        <w:spacing w:after="0" w:line="240" w:lineRule="auto"/>
        <w:jc w:val="both"/>
        <w:rPr>
          <w:rFonts w:ascii="Times New Roman" w:hAnsi="Times New Roman" w:cs="Times New Roman"/>
        </w:rPr>
      </w:pPr>
      <w:r w:rsidRPr="00734845">
        <w:rPr>
          <w:rFonts w:ascii="Times New Roman" w:hAnsi="Times New Roman" w:cs="Times New Roman"/>
        </w:rPr>
        <w:tab/>
        <w:t xml:space="preserve">Vlasnik građevinskog zemljišta unutar granica građevinskog područja dužan je prije dobivanja građevinske dozvole, prenijeti jedinici lokalne samouprave u vlasništvo dio tog zemljišta koje je prostornim planom koji određuje oblik i veličinu građevne čestice, lokacijskom dozvolom ili građevinskom dozvolom određeno za građenje komunalne infrastrukture koja služi njegovoj građevnoj čestici ili građevini koja će se izgraditi na toj čestici. </w:t>
      </w:r>
    </w:p>
    <w:p w:rsidR="005001AB" w:rsidRPr="00734845" w:rsidRDefault="005001AB" w:rsidP="005001AB">
      <w:pPr>
        <w:spacing w:after="0" w:line="240" w:lineRule="auto"/>
        <w:jc w:val="both"/>
        <w:rPr>
          <w:rFonts w:ascii="Times New Roman" w:hAnsi="Times New Roman" w:cs="Times New Roman"/>
        </w:rPr>
      </w:pPr>
      <w:r w:rsidRPr="00734845">
        <w:rPr>
          <w:rFonts w:ascii="Times New Roman" w:hAnsi="Times New Roman" w:cs="Times New Roman"/>
        </w:rPr>
        <w:tab/>
        <w:t>Vlasnik građevinskog zemljišta unutar granica građevinskog područja dužan je prije dobivanja lokacijske dozvole s jedinicom lokalne samouprave ili drugom ovlaštenom osobom sklopiti ugovor o osnivanju služnosti provoza i/ili prolaza ili druge služnosti na svojoj građevnoj čestici ili građevini koja će na njoj biti izgrađena za korist komunalne infrastrukture kada je to potrebno prema urbanističkom planu uređenja, drugom prostornom planu koji ima detaljnost tog plana, lokacijskoj dozvoli ili građevinskoj dozvoli.</w:t>
      </w:r>
    </w:p>
    <w:p w:rsidR="005001AB" w:rsidRPr="00734845" w:rsidRDefault="005001AB" w:rsidP="005001AB">
      <w:pPr>
        <w:spacing w:after="0" w:line="240" w:lineRule="auto"/>
        <w:jc w:val="both"/>
        <w:rPr>
          <w:rFonts w:ascii="Times New Roman" w:hAnsi="Times New Roman" w:cs="Times New Roman"/>
        </w:rPr>
      </w:pPr>
      <w:r w:rsidRPr="00734845">
        <w:rPr>
          <w:rFonts w:ascii="Times New Roman" w:hAnsi="Times New Roman" w:cs="Times New Roman"/>
        </w:rPr>
        <w:tab/>
        <w:t xml:space="preserve">Zemljište se prenosi izjavom o prijenosu zemljišta koju vlasnik zemljišta daje na zapisnik Gradskom uredu za opću upravu i imovinsko-pravne poslove. </w:t>
      </w:r>
    </w:p>
    <w:p w:rsidR="00C35650" w:rsidRDefault="00C35650">
      <w:bookmarkStart w:id="0" w:name="_GoBack"/>
      <w:bookmarkEnd w:id="0"/>
    </w:p>
    <w:sectPr w:rsidR="00C356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AB"/>
    <w:rsid w:val="005001AB"/>
    <w:rsid w:val="00C3565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CF1EE-B3F8-4BDD-BD62-C8B3216E5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Jelica Glas</dc:creator>
  <cp:keywords/>
  <dc:description/>
  <cp:lastModifiedBy>Jelica Glas</cp:lastModifiedBy>
  <cp:revision>1</cp:revision>
  <dcterms:created xsi:type="dcterms:W3CDTF">2022-04-06T12:48:00Z</dcterms:created>
  <dcterms:modified xsi:type="dcterms:W3CDTF">2022-04-06T12:49:00Z</dcterms:modified>
</cp:coreProperties>
</file>