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C7" w:rsidRPr="00674D99" w:rsidRDefault="007842C7" w:rsidP="007842C7">
      <w:pPr>
        <w:adjustRightInd w:val="0"/>
        <w:spacing w:after="0" w:line="240" w:lineRule="auto"/>
        <w:ind w:firstLine="708"/>
        <w:jc w:val="right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  <w:r w:rsidRPr="00674D99">
        <w:rPr>
          <w:rFonts w:ascii="Arial" w:eastAsia="Calibri" w:hAnsi="Arial" w:cs="Arial"/>
          <w:color w:val="000000"/>
          <w:sz w:val="24"/>
          <w:szCs w:val="24"/>
        </w:rPr>
        <w:t>NACRT PRIJEDLOGA</w:t>
      </w:r>
    </w:p>
    <w:p w:rsidR="00071CE6" w:rsidRDefault="00071CE6" w:rsidP="007842C7">
      <w:pPr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842C7" w:rsidRPr="007842C7" w:rsidRDefault="007842C7" w:rsidP="00FC475D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Na temelju članka </w:t>
      </w:r>
      <w:r w:rsidRPr="00674D99">
        <w:rPr>
          <w:rFonts w:ascii="Arial" w:eastAsia="Calibri" w:hAnsi="Arial" w:cs="Arial"/>
          <w:color w:val="000000"/>
          <w:sz w:val="24"/>
          <w:szCs w:val="24"/>
        </w:rPr>
        <w:t>36</w:t>
      </w:r>
      <w:r w:rsidRPr="007842C7">
        <w:rPr>
          <w:rFonts w:ascii="Arial" w:eastAsia="Calibri" w:hAnsi="Arial" w:cs="Arial"/>
          <w:color w:val="000000"/>
          <w:sz w:val="24"/>
          <w:szCs w:val="24"/>
        </w:rPr>
        <w:t>. Zakona o poljoprivredi (Narodne novine</w:t>
      </w:r>
      <w:r w:rsidRPr="00674D99">
        <w:rPr>
          <w:rFonts w:ascii="Arial" w:eastAsia="Calibri" w:hAnsi="Arial" w:cs="Arial"/>
          <w:color w:val="000000"/>
          <w:sz w:val="24"/>
          <w:szCs w:val="24"/>
        </w:rPr>
        <w:t xml:space="preserve"> 118</w:t>
      </w:r>
      <w:r w:rsidRPr="007842C7">
        <w:rPr>
          <w:rFonts w:ascii="Arial" w:eastAsia="Calibri" w:hAnsi="Arial" w:cs="Arial"/>
          <w:color w:val="000000"/>
          <w:sz w:val="24"/>
          <w:szCs w:val="24"/>
        </w:rPr>
        <w:t>/1</w:t>
      </w:r>
      <w:r w:rsidRPr="00674D99">
        <w:rPr>
          <w:rFonts w:ascii="Arial" w:eastAsia="Calibri" w:hAnsi="Arial" w:cs="Arial"/>
          <w:color w:val="000000"/>
          <w:sz w:val="24"/>
          <w:szCs w:val="24"/>
        </w:rPr>
        <w:t>8</w:t>
      </w: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), članka 16. Uredbe Komisije (EU) br. 702/2014 o ocjenjivanju određenih kategorija potpora u sektoru poljoprivrede i šumarstva te u ruralnim područjima sukladnima s unutarnjim tržištem u primjeni članaka 107. i 108. Ugovora o funkcioniranju Europske unije (SL L 193 od 1. srpnja 2014.), točke 1.2.2.1. Smjernica Europske unije o državnim potporama u sektoru poljoprivrede i šumarstva te u ruralnim područjima u razdoblju od 2014. do 2020. (SL L 204 od 1. srpnja 2014.) i članka </w:t>
      </w:r>
      <w:r w:rsidRPr="00674D99">
        <w:rPr>
          <w:rFonts w:ascii="Arial" w:eastAsia="Calibri" w:hAnsi="Arial" w:cs="Arial"/>
          <w:color w:val="000000"/>
          <w:sz w:val="24"/>
          <w:szCs w:val="24"/>
        </w:rPr>
        <w:t>41</w:t>
      </w:r>
      <w:r w:rsidRPr="007842C7">
        <w:rPr>
          <w:rFonts w:ascii="Arial" w:eastAsia="Calibri" w:hAnsi="Arial" w:cs="Arial"/>
          <w:color w:val="000000"/>
          <w:sz w:val="24"/>
          <w:szCs w:val="24"/>
        </w:rPr>
        <w:t>. točke 2. Statuta Grada Zagreba (Službeni glasnik Grada Zagreba</w:t>
      </w:r>
      <w:r w:rsidRPr="00674D99">
        <w:rPr>
          <w:rFonts w:ascii="Arial" w:eastAsia="Calibri" w:hAnsi="Arial" w:cs="Arial"/>
          <w:color w:val="000000"/>
          <w:sz w:val="24"/>
          <w:szCs w:val="24"/>
        </w:rPr>
        <w:t xml:space="preserve"> 23/16, 2/18 i 23/18</w:t>
      </w: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), Gradska skupština Grada Zagreba, na </w:t>
      </w:r>
      <w:r w:rsidRPr="00674D99">
        <w:rPr>
          <w:rFonts w:ascii="Arial" w:eastAsia="Calibri" w:hAnsi="Arial" w:cs="Arial"/>
          <w:color w:val="000000"/>
          <w:sz w:val="24"/>
          <w:szCs w:val="24"/>
        </w:rPr>
        <w:t>..</w:t>
      </w: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. sjednici, </w:t>
      </w:r>
      <w:r w:rsidRPr="00674D99">
        <w:rPr>
          <w:rFonts w:ascii="Arial" w:eastAsia="Calibri" w:hAnsi="Arial" w:cs="Arial"/>
          <w:color w:val="000000"/>
          <w:sz w:val="24"/>
          <w:szCs w:val="24"/>
        </w:rPr>
        <w:t>……………</w:t>
      </w: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 201</w:t>
      </w:r>
      <w:r w:rsidRPr="00674D99">
        <w:rPr>
          <w:rFonts w:ascii="Arial" w:eastAsia="Calibri" w:hAnsi="Arial" w:cs="Arial"/>
          <w:color w:val="000000"/>
          <w:sz w:val="24"/>
          <w:szCs w:val="24"/>
        </w:rPr>
        <w:t>9</w:t>
      </w:r>
      <w:r w:rsidRPr="007842C7">
        <w:rPr>
          <w:rFonts w:ascii="Arial" w:eastAsia="Calibri" w:hAnsi="Arial" w:cs="Arial"/>
          <w:color w:val="000000"/>
          <w:sz w:val="24"/>
          <w:szCs w:val="24"/>
        </w:rPr>
        <w:t>., donijela je</w:t>
      </w: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842C7" w:rsidRPr="00674D99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ODLUKU</w:t>
      </w:r>
    </w:p>
    <w:p w:rsidR="007842C7" w:rsidRPr="007842C7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o dodjeli izuzete državne potpore za premještaj poljoprivrednih zgrada i nove državne potpore za zatvaranje proizvodnih kapaciteta na području Grada Zagreba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F3F33" w:rsidRPr="00674D99" w:rsidRDefault="001F3F33">
      <w:pPr>
        <w:rPr>
          <w:rFonts w:ascii="Arial" w:hAnsi="Arial" w:cs="Arial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I. Opće odredbe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Članak 1.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1" w:name="_Hlk12605560"/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(1) </w:t>
      </w:r>
      <w:bookmarkStart w:id="2" w:name="_Hlk12525814"/>
      <w:r w:rsidRPr="007842C7">
        <w:rPr>
          <w:rFonts w:ascii="Arial" w:eastAsia="Calibri" w:hAnsi="Arial" w:cs="Arial"/>
          <w:color w:val="000000"/>
          <w:sz w:val="24"/>
          <w:szCs w:val="24"/>
        </w:rPr>
        <w:t>Ovom se odlukom utvrđuju uvjeti, intenzitet i način dodjele izuzete državne potpore za premještaj poljoprivrednih zgrada i nove državne potpore za zatvaranje proizvodnih kapaciteta</w:t>
      </w:r>
      <w:bookmarkEnd w:id="2"/>
      <w:r w:rsidRPr="007842C7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(2) Sredstva za državne potpore iz stavka 1. ovoga članka osigurava Grad Zagreb kao davatelj državne potpore u svom proračunu.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(3) Državne potpore iz stavka 1. ovoga članka provode se na području naselja grada Zagreba za koje je Programom ruralnog razvoja Republike Hrvatske za razdoblje 2014. - 2020. utvrđeno da se ne smatra područjem primjene mjera ruralnog razvoja. </w:t>
      </w:r>
    </w:p>
    <w:bookmarkEnd w:id="1"/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Članak 2.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(1) Državne potpore utvrđene ovom odlukom dodjeljuju se kao jednokratne državne potpore u obliku subvencija.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(2) Pojedini pojmovi u ovoj odluci imaju značenje kako je to utvrđeno Smjernicama Europske unije o državnim potporama u sektoru poljoprivrede i šumarstva te u ruralnim područjima u razdoblju od 2014. do 2020. (SL L 204 od 1. srpnja 2014. - u daljnjem tekstu: Smjernice EU) i Uredbom Komisije (EU) br. 702/2014 o ocjenjivanju određenih kategorija potpora u sektoru poljoprivrede i šumarstva te u ruralnim područjima sukladnima s unutarnjim tržištem u primjeni članaka 107. i 108. Ugovora o funkcioniranju Europske unije (SL L 193 od 1. srpnja 2014. - u daljnjem tekstu: Uredba 702/2014).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674D99" w:rsidRDefault="00674D99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02597" w:rsidRDefault="0010259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02597" w:rsidRDefault="0010259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02597" w:rsidRDefault="0010259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Članak 3.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3" w:name="_Hlk12607429"/>
      <w:r w:rsidRPr="007842C7">
        <w:rPr>
          <w:rFonts w:ascii="Arial" w:eastAsia="Calibri" w:hAnsi="Arial" w:cs="Arial"/>
          <w:color w:val="000000"/>
          <w:sz w:val="24"/>
          <w:szCs w:val="24"/>
        </w:rPr>
        <w:t>(1) Potpora se ne može dodijeliti poduzetniku u teškoćama, poduzetniku koji podliježe neizvršenom nalogu za povrat sredstava na temelju prethodne odluke Europske komisije kojom se potpora ocjenjuje nezakonitom i nesukladnom unutarnjem tržištu, te poduzetniku koji ima dugovanja prema proračunu Grada Zagreba.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(2) Potpora ne smije sadržavati uvjete ili način financiranja koji će dovesti do neizbježne povrede prava Unije, a posebno: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- dodjela potpore ne smije ovisiti o obvezi korisnika da ima poslovni </w:t>
      </w:r>
      <w:proofErr w:type="spellStart"/>
      <w:r w:rsidRPr="007842C7">
        <w:rPr>
          <w:rFonts w:ascii="Arial" w:eastAsia="Calibri" w:hAnsi="Arial" w:cs="Arial"/>
          <w:color w:val="000000"/>
          <w:sz w:val="24"/>
          <w:szCs w:val="24"/>
        </w:rPr>
        <w:t>nastan</w:t>
      </w:r>
      <w:proofErr w:type="spellEnd"/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 u određenoj državi članici ili da većina njegovih poslovnih jedinica ima poslovni </w:t>
      </w:r>
      <w:proofErr w:type="spellStart"/>
      <w:r w:rsidRPr="007842C7">
        <w:rPr>
          <w:rFonts w:ascii="Arial" w:eastAsia="Calibri" w:hAnsi="Arial" w:cs="Arial"/>
          <w:color w:val="000000"/>
          <w:sz w:val="24"/>
          <w:szCs w:val="24"/>
        </w:rPr>
        <w:t>nastan</w:t>
      </w:r>
      <w:proofErr w:type="spellEnd"/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 u toj državi članici,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- dodjela potpore ne smije ovisiti o obvezi korisnika da upotrebljava robu proizvedenu ili usluge pružene na državnom području,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- korisnicima se ne smije ograničavati mogućnost uporabe rezultata istraživanja, razvoja i inovacija u ostalim državama članicama.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(3) Potpora se može dodijeliti isključivo za aktivnosti i radove započete nakon što je podnesen pisani zahtjev za potporu. 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(4) Za izračun intenziteta potpore svi iznosi koji se upotrebljavaju trebaju biti iznosi prije svih odbitaka poreza ili drugog troška. Prihvatljivi troškovi trebaju biti popraćeni pisanim dokazima koji trebaju biti jasni, konkretni i ažurirani. Porez na dodanu vrijednost (PDV) nije prihvatljiv za dodjelu potpora.</w:t>
      </w:r>
    </w:p>
    <w:bookmarkEnd w:id="3"/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02597" w:rsidRDefault="0010259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II. Potpora za premještaj poljoprivrednih zgrada (izuzeta državna potpora po članku 16. Uredbe 702/2014)</w:t>
      </w: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Članak 4.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bookmarkStart w:id="4" w:name="_Hlk12607566"/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(1) Korisnik potpore za premještaj poljoprivrednih zgrada može biti mikro, mali i srednji poduzetnik definiran u Prilogu I. Uredbe 702/2014, upisan u Upisnik poljoprivrednika koji se bavi primarnom poljoprivrednom proizvodnjom.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(2) Potpora za premještaj poljoprivrednih zgrada dodjeljuje se za premještaj zgrada koje se nalaze unutar granica Generalnog urbanističkog plana grada Zagreba na područje izvan granica Generalnog urbanističkog plana grada Zagreba. 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(3) Premještaj poljoprivrednih zgrada, sukladno Prostornom planu Grada Zagreba, od interesa je za Grad Zagreb jer se time ostvaruju ciljevi: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- poboljšanje kakvoće života građana,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- zaštita okoliša i dobrobiti životinja,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- povećanje poljoprivredne konkurentnosti i održivosti. 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(4) Potpora se dodjeljuje za pokriće prihvatljivih troškova:</w:t>
      </w:r>
    </w:p>
    <w:p w:rsidR="007842C7" w:rsidRPr="007842C7" w:rsidRDefault="007842C7" w:rsidP="007842C7">
      <w:pPr>
        <w:adjustRightInd w:val="0"/>
        <w:spacing w:after="0" w:line="240" w:lineRule="auto"/>
        <w:ind w:firstLine="105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4.1. rastavljanja, premještanja i ponovne izgradnje postojećih objekata,</w:t>
      </w:r>
    </w:p>
    <w:p w:rsidR="007842C7" w:rsidRPr="007842C7" w:rsidRDefault="007842C7" w:rsidP="007842C7">
      <w:pPr>
        <w:adjustRightInd w:val="0"/>
        <w:spacing w:after="0" w:line="240" w:lineRule="auto"/>
        <w:ind w:firstLine="105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4.2. rastavljanja, premještanja i ponovne izgradnje čime se ti objekti moderniziraju ili se povećaju proizvodni kapaciteti.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(5) Potpora može iznositi najviše: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- do 100% prihvatljivih stvarno nastalih troškova rastavljanja, premještanja i ponovne izgradnje objekata iz točke 4.1. stavka 4. ovog članka, 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- do 40% prihvatljivih troškova povezanih s modernizacijom objekta ili povećanjem proizvodnih kapaciteta iz točke 4.2. stavka 4. ovog članka,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- do 60% prihvatljivih troškova povezanih s modernizacijom objekta ili povećanjem proizvodnih kapaciteta iz točke 4.2. stavka 4. ovog članka ako je korisnik </w:t>
      </w:r>
      <w:r w:rsidRPr="007842C7">
        <w:rPr>
          <w:rFonts w:ascii="Arial" w:eastAsia="Calibri" w:hAnsi="Arial" w:cs="Arial"/>
          <w:color w:val="000000"/>
          <w:sz w:val="24"/>
          <w:szCs w:val="24"/>
        </w:rPr>
        <w:lastRenderedPageBreak/>
        <w:t>potpore mladi poljoprivrednik ili poljoprivrednik koji je uspostavio gospodarstvo tijekom pet godina prije datuma podnošenja zahtjeva za potporu.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(6) Maksimalni iznos potpore za ulaganja u vezi s premještajem poljoprivredne zgrade ne može biti veći od 750.000,00 kn po poduzetniku po projektu ulaganja. Utvrđeni maksimalni iznos ne smije se izbjegavati umjetnim razdvajanjem programa ili projekta potpore.</w:t>
      </w:r>
    </w:p>
    <w:bookmarkEnd w:id="4"/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74D99" w:rsidRDefault="00674D99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III. Potpora za zatvaranje proizvodnog kapaciteta zbog zdravlja životinja, bilja ili ljudi te zbog sanitarnih ili ekoloških razloga (nova državna potpora točka 1.2.2.1. Smjernica Europske unije o državnim potporama u sektoru poljoprivrede i šumarstva te u ruralnim područjima u razdoblju od 2014. do 2020.)</w:t>
      </w: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Članak 5.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bookmarkStart w:id="5" w:name="_Hlk12607826"/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(1) Korisnik potpore za zatvaranje proizvodnog kapaciteta može biti poduzetnik upisan u Upisnik poljoprivrednika koji djeluje u poljoprivrednom sektoru. 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(2) Potpora za zatvaranje proizvodnog kapaciteta dodjeljuje se za zatvaranje proizvodnog kapaciteta koji se nalaze unutar granica Generalnog urbanističkog plana grada Zagreba poljoprivrednicima koji su stvarno proizvodili i proizvodni kapaciteti su doista bili u stalnoj upotrebi zadnjih pet godina prije zatvaranja. 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(3) Potpora može biti dodijeljena pod sljedećim uvjetima: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- ako proizvodni kapacitet nije konačno zatvoren, 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- ako zatvaranje nije neizbježno,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- ako je korisnik donio pravno obvezujuću, konačnu i neopozivu odluku da zatvara proizvodni kapacitet, da je zatvaranje proizvodnog kapaciteta konačno i nepovratno, te da niti on niti bilo koji budući kupac zemljišta/pogona neće istu aktivnost započeti negdje drugdje,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- ako je korisnik poljoprivredno gospodarstvo koje ispunjava norme EU-a, 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- ako se ne radi o poljoprivrednom gospodarstvu koje bi ionako moralo prekinuti proizvodnju. 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(4) Zatvaranje proizvodnih kapaciteta od interesa je za Grad Zagreb jer se time ostvaruju ciljevi: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- poboljšanje kakvoće života građana,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- zaštita okoliša i zdravlja životinja,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- zaštita javnozdravstvenog interesa (sanitarni razlozi). 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(5) Potpora se dodjeljuje za pokriće prihvatljivih troškova:</w:t>
      </w:r>
    </w:p>
    <w:p w:rsidR="007842C7" w:rsidRPr="007842C7" w:rsidRDefault="007842C7" w:rsidP="007842C7">
      <w:pPr>
        <w:adjustRightInd w:val="0"/>
        <w:spacing w:after="0" w:line="240" w:lineRule="auto"/>
        <w:ind w:firstLine="107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1. naknade za gubitak vrijednosti imovine u visini njezine trenutačne prodajne vrijednosti </w:t>
      </w:r>
    </w:p>
    <w:p w:rsidR="007842C7" w:rsidRPr="007842C7" w:rsidRDefault="007842C7" w:rsidP="007842C7">
      <w:pPr>
        <w:adjustRightInd w:val="0"/>
        <w:spacing w:after="0" w:line="240" w:lineRule="auto"/>
        <w:ind w:firstLine="107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2. naknade za uništenje proizvodnog kapaciteta.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(6) Potpora može iznositi najviše do 100% prihvatljivih troškova za naknadu gubitka vrijednosti imovine i za naknadu troškova uništenja proizvodnog kapaciteta.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(7) Maksimalni iznos potpore za ulaganja u vezi sa zatvaranjem proizvodnih kapaciteta ne može biti veći od 750.000,00 kn po poduzetniku po projektu ulaganja. Utvrđeni maksimalni iznos ne smije se izbjegavati umjetnim razdvajanjem programa ili projekta potpore.</w:t>
      </w:r>
    </w:p>
    <w:bookmarkEnd w:id="5"/>
    <w:p w:rsid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A3EBA" w:rsidRDefault="000A3EBA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A3EBA" w:rsidRDefault="000A3EBA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A3EBA" w:rsidRPr="007842C7" w:rsidRDefault="000A3EBA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IV. Način dodjele potpore</w:t>
      </w: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Članak 6.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0A3EBA" w:rsidRPr="000A3EBA" w:rsidRDefault="007842C7" w:rsidP="000A3EB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31DC">
        <w:rPr>
          <w:rFonts w:ascii="Arial" w:eastAsia="Calibri" w:hAnsi="Arial" w:cs="Arial"/>
          <w:sz w:val="24"/>
          <w:szCs w:val="24"/>
        </w:rPr>
        <w:t>(1) Izuzeta državna</w:t>
      </w:r>
      <w:r w:rsidR="000A3EBA">
        <w:rPr>
          <w:rFonts w:ascii="Arial" w:eastAsia="Calibri" w:hAnsi="Arial" w:cs="Arial"/>
          <w:sz w:val="24"/>
          <w:szCs w:val="24"/>
        </w:rPr>
        <w:t xml:space="preserve"> potpora iz članka 4. ove </w:t>
      </w:r>
      <w:r w:rsidR="00BC36C1">
        <w:rPr>
          <w:rFonts w:ascii="Arial" w:eastAsia="Calibri" w:hAnsi="Arial" w:cs="Arial"/>
          <w:sz w:val="24"/>
          <w:szCs w:val="24"/>
        </w:rPr>
        <w:t>odluke sukladno mišljenju Ministarstva poljoprivrede smatra se</w:t>
      </w:r>
      <w:r w:rsidR="000A3EBA">
        <w:rPr>
          <w:rFonts w:ascii="Arial" w:eastAsia="Calibri" w:hAnsi="Arial" w:cs="Arial"/>
          <w:sz w:val="24"/>
          <w:szCs w:val="24"/>
        </w:rPr>
        <w:t xml:space="preserve"> potporom u</w:t>
      </w:r>
      <w:r w:rsidR="000A3EBA" w:rsidRPr="000A3EBA">
        <w:rPr>
          <w:rFonts w:ascii="Arial" w:eastAsia="Calibri" w:hAnsi="Arial" w:cs="Arial"/>
          <w:sz w:val="24"/>
          <w:szCs w:val="24"/>
        </w:rPr>
        <w:t xml:space="preserve"> sektoru poljoprivrede i šumarstva te u ruralnim područjima </w:t>
      </w:r>
      <w:r w:rsidR="000A3EBA">
        <w:rPr>
          <w:rFonts w:ascii="Arial" w:eastAsia="Calibri" w:hAnsi="Arial" w:cs="Arial"/>
          <w:sz w:val="24"/>
          <w:szCs w:val="24"/>
        </w:rPr>
        <w:t>spojivom</w:t>
      </w:r>
      <w:r w:rsidR="000A3EBA" w:rsidRPr="000A3EBA">
        <w:rPr>
          <w:rFonts w:ascii="Arial" w:eastAsia="Calibri" w:hAnsi="Arial" w:cs="Arial"/>
          <w:sz w:val="24"/>
          <w:szCs w:val="24"/>
        </w:rPr>
        <w:t xml:space="preserve"> s unutarnjim tržištem </w:t>
      </w:r>
      <w:r w:rsidR="000A3EBA">
        <w:rPr>
          <w:rFonts w:ascii="Arial" w:eastAsia="Calibri" w:hAnsi="Arial" w:cs="Arial"/>
          <w:sz w:val="24"/>
          <w:szCs w:val="24"/>
        </w:rPr>
        <w:t xml:space="preserve"> </w:t>
      </w:r>
      <w:r w:rsidR="000A3EBA" w:rsidRPr="000A3EBA">
        <w:rPr>
          <w:rFonts w:ascii="Arial" w:eastAsia="Calibri" w:hAnsi="Arial" w:cs="Arial"/>
          <w:sz w:val="24"/>
          <w:szCs w:val="24"/>
        </w:rPr>
        <w:t>u</w:t>
      </w:r>
      <w:r w:rsidR="000A3EBA">
        <w:rPr>
          <w:rFonts w:ascii="Arial" w:eastAsia="Calibri" w:hAnsi="Arial" w:cs="Arial"/>
          <w:sz w:val="24"/>
          <w:szCs w:val="24"/>
        </w:rPr>
        <w:t xml:space="preserve"> </w:t>
      </w:r>
      <w:r w:rsidR="000A3EBA" w:rsidRPr="000A3EBA">
        <w:rPr>
          <w:rFonts w:ascii="Arial" w:eastAsia="Calibri" w:hAnsi="Arial" w:cs="Arial"/>
          <w:sz w:val="24"/>
          <w:szCs w:val="24"/>
        </w:rPr>
        <w:t>primjeni članaka 107. i 108. Ugovora o funkcioniranju Europske unije</w:t>
      </w:r>
      <w:r w:rsidR="000A3EBA">
        <w:rPr>
          <w:rFonts w:ascii="Arial" w:eastAsia="Calibri" w:hAnsi="Arial" w:cs="Arial"/>
          <w:sz w:val="24"/>
          <w:szCs w:val="24"/>
        </w:rPr>
        <w:t xml:space="preserve"> </w:t>
      </w:r>
      <w:r w:rsidR="000A3EBA" w:rsidRPr="000A3EBA">
        <w:rPr>
          <w:rFonts w:ascii="Arial" w:eastAsia="Calibri" w:hAnsi="Arial" w:cs="Arial"/>
          <w:sz w:val="24"/>
          <w:szCs w:val="24"/>
        </w:rPr>
        <w:t>u skladu s Ure</w:t>
      </w:r>
      <w:r w:rsidR="000A3EBA">
        <w:rPr>
          <w:rFonts w:ascii="Arial" w:eastAsia="Calibri" w:hAnsi="Arial" w:cs="Arial"/>
          <w:sz w:val="24"/>
          <w:szCs w:val="24"/>
        </w:rPr>
        <w:t>dbom Komisije (EU) br. 704/2014.</w:t>
      </w:r>
    </w:p>
    <w:p w:rsidR="007842C7" w:rsidRPr="009431DC" w:rsidRDefault="007842C7" w:rsidP="000A3EBA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31DC">
        <w:rPr>
          <w:rFonts w:ascii="Arial" w:eastAsia="Calibri" w:hAnsi="Arial" w:cs="Arial"/>
          <w:sz w:val="24"/>
          <w:szCs w:val="24"/>
        </w:rPr>
        <w:t xml:space="preserve">(2) Nova državna potpora iz članka 5. ove odluke </w:t>
      </w:r>
      <w:r w:rsidR="000A3EBA">
        <w:rPr>
          <w:rFonts w:ascii="Arial" w:eastAsia="Calibri" w:hAnsi="Arial" w:cs="Arial"/>
          <w:sz w:val="24"/>
          <w:szCs w:val="24"/>
        </w:rPr>
        <w:t>odobrena je od strane Europske Komi</w:t>
      </w:r>
      <w:r w:rsidR="00BC36C1">
        <w:rPr>
          <w:rFonts w:ascii="Arial" w:eastAsia="Calibri" w:hAnsi="Arial" w:cs="Arial"/>
          <w:sz w:val="24"/>
          <w:szCs w:val="24"/>
        </w:rPr>
        <w:t>si</w:t>
      </w:r>
      <w:r w:rsidR="000A3EBA">
        <w:rPr>
          <w:rFonts w:ascii="Arial" w:eastAsia="Calibri" w:hAnsi="Arial" w:cs="Arial"/>
          <w:sz w:val="24"/>
          <w:szCs w:val="24"/>
        </w:rPr>
        <w:t xml:space="preserve">je </w:t>
      </w:r>
      <w:r w:rsidR="00BC36C1">
        <w:rPr>
          <w:rFonts w:ascii="Arial" w:eastAsia="Calibri" w:hAnsi="Arial" w:cs="Arial"/>
          <w:sz w:val="24"/>
          <w:szCs w:val="24"/>
        </w:rPr>
        <w:t>i smatra se potporom</w:t>
      </w:r>
      <w:r w:rsidR="000A3EBA">
        <w:rPr>
          <w:rFonts w:ascii="Arial" w:eastAsia="Calibri" w:hAnsi="Arial" w:cs="Arial"/>
          <w:sz w:val="24"/>
          <w:szCs w:val="24"/>
        </w:rPr>
        <w:t xml:space="preserve"> spojiv</w:t>
      </w:r>
      <w:r w:rsidR="00BC36C1">
        <w:rPr>
          <w:rFonts w:ascii="Arial" w:eastAsia="Calibri" w:hAnsi="Arial" w:cs="Arial"/>
          <w:sz w:val="24"/>
          <w:szCs w:val="24"/>
        </w:rPr>
        <w:t>om</w:t>
      </w:r>
      <w:r w:rsidR="000A3EBA">
        <w:rPr>
          <w:rFonts w:ascii="Arial" w:eastAsia="Calibri" w:hAnsi="Arial" w:cs="Arial"/>
          <w:sz w:val="24"/>
          <w:szCs w:val="24"/>
        </w:rPr>
        <w:t xml:space="preserve"> </w:t>
      </w:r>
      <w:r w:rsidR="000A3EBA" w:rsidRPr="000A3EBA">
        <w:rPr>
          <w:rFonts w:ascii="Arial" w:eastAsia="Calibri" w:hAnsi="Arial" w:cs="Arial"/>
          <w:sz w:val="24"/>
          <w:szCs w:val="24"/>
        </w:rPr>
        <w:t>s unutarnjim tržištem u skladu s člankom 107. stavkom 3. točkom (c) Ugovora o funkcioniranju Europske unije</w:t>
      </w:r>
      <w:r w:rsidRPr="009431DC">
        <w:rPr>
          <w:rFonts w:ascii="Arial" w:eastAsia="Calibri" w:hAnsi="Arial" w:cs="Arial"/>
          <w:sz w:val="24"/>
          <w:szCs w:val="24"/>
        </w:rPr>
        <w:t>.</w:t>
      </w:r>
    </w:p>
    <w:p w:rsidR="009431DC" w:rsidRDefault="009431DC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Članak 7.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6" w:name="_Hlk12608292"/>
      <w:r w:rsidRPr="007842C7">
        <w:rPr>
          <w:rFonts w:ascii="Arial" w:eastAsia="Calibri" w:hAnsi="Arial" w:cs="Arial"/>
          <w:color w:val="000000"/>
          <w:sz w:val="24"/>
          <w:szCs w:val="24"/>
        </w:rPr>
        <w:t>(1) Državne potpore utvrđene ovom odlukom dodijelit će se na temelju javnog natječaja što ga raspisuje gradonačelnik Grada Zagreba.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(2) Podnositelj zahtjeva na natječaj podnosi pisani zahtjev za potporu koji mora sadržavati: 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- naziv i veličina podnositelja zahtjeva;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- opis projekta ili djelatnosti, uključujući datume početka i dovršetka; 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- mjesto održavanja projekta ili djelatnosti;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- detaljno razrađena lista prihvatljivih troškova; </w:t>
      </w:r>
    </w:p>
    <w:p w:rsidR="007842C7" w:rsidRPr="007842C7" w:rsidRDefault="007842C7" w:rsidP="007842C7">
      <w:pPr>
        <w:adjustRightInd w:val="0"/>
        <w:spacing w:after="0" w:line="240" w:lineRule="auto"/>
        <w:ind w:firstLine="90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- vrstu (bespovratno sredstvo, zajam, jamstvo, povratni predujam ili drugo) i iznos javnog financiranja potrebnog za projekt/djelatnost.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(3) Dokumentacija kojom se dokazuje ispunjavanje uvjeta za dodjelu potpora utvrđenih ovom odlukom propisat će se javnim natječajem.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(4) Gradonačelnik odlučuje o dodjeli potpora zaključkom o utvrđivanju liste korisnika potpora na temelju prijedloga Gradskog ureda za poljoprivredu i šumarstvo. 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(5) Na temelju utvrđene liste korisnika potpora odobrena sredstva isplatit će se u skladu s odredbama ugovora o korištenju potpore. </w:t>
      </w:r>
    </w:p>
    <w:p w:rsid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bookmarkEnd w:id="6"/>
    <w:p w:rsidR="009431DC" w:rsidRPr="007842C7" w:rsidRDefault="009431DC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V. Zbrajanje, objavljivanje i kontrola potpora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Članak 8.</w:t>
      </w: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(1) Na zbrajanje, objavljivanje i informacije o potporama koje se dodjeljuju u skladu s ovom odlukom primjenjuju se odredbe članaka 8. i 9. Uredbe 702/2014. i točaka 3.5. i 3.7. Smjernica EU.</w:t>
      </w: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Članak 9.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(1) Administrativnu i terensku kontrolu dodijeljenih potpora provodi Gradski ured za poljoprivredu i šumarstvo. 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(2) Korisniku potpore kod kojeg se utvrdi nenamjensko korištenje sredstava ili prilaganje neistinite dokumentacije i podataka uz zahtjev za isplatu pomoći, Grad Zagreb će otkazati ugovor i pozvati na povrat sredstava dostavom pisane obavijesti u roku od 30 dana od dana utvrđivanja nastanka okolnosti.</w:t>
      </w: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lastRenderedPageBreak/>
        <w:t>(3) Korisnik potpore iz stavka 2. ovog članka gubi pravo na ostvarivanje državnih potpora sljedeće 3 godine.</w:t>
      </w: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74D99" w:rsidRDefault="00674D99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74D99" w:rsidRDefault="00674D99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VI. Završne odredbe</w:t>
      </w: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Članak 10.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Default="007842C7" w:rsidP="00BC36C1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36C1">
        <w:rPr>
          <w:rFonts w:ascii="Arial" w:eastAsia="Calibri" w:hAnsi="Arial" w:cs="Arial"/>
          <w:color w:val="000000"/>
          <w:sz w:val="24"/>
          <w:szCs w:val="24"/>
        </w:rPr>
        <w:t xml:space="preserve">Ova odluka primjenjuje se do </w:t>
      </w:r>
      <w:r w:rsidR="00674D99" w:rsidRPr="00BC36C1">
        <w:rPr>
          <w:rFonts w:ascii="Arial" w:eastAsia="Calibri" w:hAnsi="Arial" w:cs="Arial"/>
          <w:color w:val="000000"/>
          <w:sz w:val="24"/>
          <w:szCs w:val="24"/>
        </w:rPr>
        <w:t>3</w:t>
      </w:r>
      <w:r w:rsidRPr="00BC36C1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="00674D99" w:rsidRPr="00BC36C1">
        <w:rPr>
          <w:rFonts w:ascii="Arial" w:eastAsia="Calibri" w:hAnsi="Arial" w:cs="Arial"/>
          <w:color w:val="000000"/>
          <w:sz w:val="24"/>
          <w:szCs w:val="24"/>
        </w:rPr>
        <w:t>prosinca</w:t>
      </w:r>
      <w:r w:rsidRPr="00BC36C1">
        <w:rPr>
          <w:rFonts w:ascii="Arial" w:eastAsia="Calibri" w:hAnsi="Arial" w:cs="Arial"/>
          <w:color w:val="000000"/>
          <w:sz w:val="24"/>
          <w:szCs w:val="24"/>
        </w:rPr>
        <w:t xml:space="preserve"> 20</w:t>
      </w:r>
      <w:r w:rsidR="00674D99" w:rsidRPr="00BC36C1">
        <w:rPr>
          <w:rFonts w:ascii="Arial" w:eastAsia="Calibri" w:hAnsi="Arial" w:cs="Arial"/>
          <w:color w:val="000000"/>
          <w:sz w:val="24"/>
          <w:szCs w:val="24"/>
        </w:rPr>
        <w:t>20</w:t>
      </w:r>
      <w:r w:rsidRPr="00BC36C1">
        <w:rPr>
          <w:rFonts w:ascii="Arial" w:eastAsia="Calibri" w:hAnsi="Arial" w:cs="Arial"/>
          <w:color w:val="000000"/>
          <w:sz w:val="24"/>
          <w:szCs w:val="24"/>
        </w:rPr>
        <w:t>. godine.</w:t>
      </w:r>
    </w:p>
    <w:p w:rsidR="00BC36C1" w:rsidRPr="00BC36C1" w:rsidRDefault="00BC36C1" w:rsidP="00BC36C1">
      <w:pPr>
        <w:pStyle w:val="ListParagraph"/>
        <w:adjustRightInd w:val="0"/>
        <w:spacing w:after="0" w:line="240" w:lineRule="auto"/>
        <w:ind w:left="106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C36C1" w:rsidRPr="007842C7" w:rsidRDefault="00BC36C1" w:rsidP="007842C7">
      <w:pPr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Članak 1</w:t>
      </w:r>
      <w:r w:rsidR="005A3B8A">
        <w:rPr>
          <w:rFonts w:ascii="Arial" w:eastAsia="Calibri" w:hAnsi="Arial" w:cs="Arial"/>
          <w:b/>
          <w:bCs/>
          <w:color w:val="000000"/>
          <w:sz w:val="24"/>
          <w:szCs w:val="24"/>
        </w:rPr>
        <w:t>1</w:t>
      </w:r>
      <w:r w:rsidRPr="007842C7">
        <w:rPr>
          <w:rFonts w:ascii="Arial" w:eastAsia="Calibri" w:hAnsi="Arial" w:cs="Arial"/>
          <w:b/>
          <w:bCs/>
          <w:color w:val="000000"/>
          <w:sz w:val="24"/>
          <w:szCs w:val="24"/>
        </w:rPr>
        <w:t>.</w:t>
      </w:r>
    </w:p>
    <w:p w:rsidR="007842C7" w:rsidRPr="007842C7" w:rsidRDefault="007842C7" w:rsidP="007842C7">
      <w:pPr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42C7" w:rsidRPr="007842C7" w:rsidRDefault="007842C7" w:rsidP="007842C7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(1) Ova odluka stupa na snagu osmoga dana od dana objave u Službenom glasniku Grada Zagreba.</w:t>
      </w: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842C7" w:rsidRPr="007842C7" w:rsidRDefault="007842C7" w:rsidP="007842C7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KLASA: </w:t>
      </w: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 xml:space="preserve">URBROJ: </w:t>
      </w:r>
    </w:p>
    <w:p w:rsidR="007842C7" w:rsidRPr="007842C7" w:rsidRDefault="007842C7" w:rsidP="007842C7">
      <w:pPr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Zagreb,</w:t>
      </w:r>
    </w:p>
    <w:p w:rsidR="007842C7" w:rsidRPr="007842C7" w:rsidRDefault="007842C7" w:rsidP="007842C7">
      <w:pPr>
        <w:spacing w:after="0" w:line="240" w:lineRule="auto"/>
        <w:ind w:left="453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Predsjednik</w:t>
      </w:r>
    </w:p>
    <w:p w:rsidR="007842C7" w:rsidRDefault="007842C7" w:rsidP="007842C7">
      <w:pPr>
        <w:spacing w:after="0" w:line="240" w:lineRule="auto"/>
        <w:ind w:left="453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7842C7">
        <w:rPr>
          <w:rFonts w:ascii="Arial" w:eastAsia="Calibri" w:hAnsi="Arial" w:cs="Arial"/>
          <w:color w:val="000000"/>
          <w:sz w:val="24"/>
          <w:szCs w:val="24"/>
        </w:rPr>
        <w:t>Gradske skupštine</w:t>
      </w: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74D99">
        <w:rPr>
          <w:rFonts w:ascii="Arial" w:eastAsia="Calibri" w:hAnsi="Arial" w:cs="Arial"/>
          <w:b/>
          <w:color w:val="000000"/>
          <w:sz w:val="24"/>
          <w:szCs w:val="24"/>
        </w:rPr>
        <w:t xml:space="preserve">  prof. dr. </w:t>
      </w:r>
      <w:proofErr w:type="spellStart"/>
      <w:r w:rsidRPr="00674D99">
        <w:rPr>
          <w:rFonts w:ascii="Arial" w:eastAsia="Calibri" w:hAnsi="Arial" w:cs="Arial"/>
          <w:b/>
          <w:color w:val="000000"/>
          <w:sz w:val="24"/>
          <w:szCs w:val="24"/>
        </w:rPr>
        <w:t>sc</w:t>
      </w:r>
      <w:proofErr w:type="spellEnd"/>
      <w:r w:rsidRPr="00674D99">
        <w:rPr>
          <w:rFonts w:ascii="Arial" w:eastAsia="Calibri" w:hAnsi="Arial" w:cs="Arial"/>
          <w:b/>
          <w:color w:val="000000"/>
          <w:sz w:val="24"/>
          <w:szCs w:val="24"/>
        </w:rPr>
        <w:t>. Drago Prgomet</w:t>
      </w: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4D99" w:rsidRDefault="00674D99" w:rsidP="007842C7">
      <w:pPr>
        <w:spacing w:after="0" w:line="240" w:lineRule="auto"/>
        <w:ind w:left="453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sectPr w:rsidR="0067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7433D"/>
    <w:multiLevelType w:val="hybridMultilevel"/>
    <w:tmpl w:val="0506158A"/>
    <w:lvl w:ilvl="0" w:tplc="CBB6BC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C7"/>
    <w:rsid w:val="00071CE6"/>
    <w:rsid w:val="000A3EBA"/>
    <w:rsid w:val="000B1985"/>
    <w:rsid w:val="00102597"/>
    <w:rsid w:val="001D67E5"/>
    <w:rsid w:val="001F3F33"/>
    <w:rsid w:val="0020480A"/>
    <w:rsid w:val="00246B93"/>
    <w:rsid w:val="002C5D05"/>
    <w:rsid w:val="003458CF"/>
    <w:rsid w:val="00526EFA"/>
    <w:rsid w:val="005A20B3"/>
    <w:rsid w:val="005A3B8A"/>
    <w:rsid w:val="00674D99"/>
    <w:rsid w:val="006B1BFF"/>
    <w:rsid w:val="006E57B0"/>
    <w:rsid w:val="00717C91"/>
    <w:rsid w:val="007842C7"/>
    <w:rsid w:val="008D1DED"/>
    <w:rsid w:val="00903609"/>
    <w:rsid w:val="009431DC"/>
    <w:rsid w:val="00967A07"/>
    <w:rsid w:val="009D41F5"/>
    <w:rsid w:val="00A62D86"/>
    <w:rsid w:val="00A97DF0"/>
    <w:rsid w:val="00AA04B9"/>
    <w:rsid w:val="00AE471F"/>
    <w:rsid w:val="00B507B7"/>
    <w:rsid w:val="00B62515"/>
    <w:rsid w:val="00BC36C1"/>
    <w:rsid w:val="00C27C94"/>
    <w:rsid w:val="00C34076"/>
    <w:rsid w:val="00D74239"/>
    <w:rsid w:val="00F35183"/>
    <w:rsid w:val="00FA61C1"/>
    <w:rsid w:val="00FC475D"/>
    <w:rsid w:val="00FE0C3C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2AB97-BF7F-41AC-8153-AEB1DA3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-9-8">
    <w:name w:val="t-9-8"/>
    <w:basedOn w:val="Normal"/>
    <w:rsid w:val="0010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10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102597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025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597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C3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0C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7D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C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8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464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5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2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10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4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20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0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3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6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9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Iva Kuhar</cp:lastModifiedBy>
  <cp:revision>2</cp:revision>
  <dcterms:created xsi:type="dcterms:W3CDTF">2019-07-17T09:26:00Z</dcterms:created>
  <dcterms:modified xsi:type="dcterms:W3CDTF">2019-07-17T09:26:00Z</dcterms:modified>
</cp:coreProperties>
</file>