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1D87" w:rsidRPr="00C00494" w:rsidRDefault="00F81D87">
      <w:pPr>
        <w:spacing w:line="240" w:lineRule="atLeast"/>
        <w:ind w:left="2980"/>
        <w:rPr>
          <w:rFonts w:ascii="Times New Roman" w:hAnsi="Times New Roman"/>
          <w:b/>
          <w:color w:val="222222"/>
          <w:sz w:val="22"/>
          <w:szCs w:val="22"/>
        </w:rPr>
      </w:pPr>
      <w:bookmarkStart w:id="0" w:name="page1"/>
      <w:bookmarkEnd w:id="0"/>
      <w:r w:rsidRPr="00C00494">
        <w:rPr>
          <w:rFonts w:ascii="Times New Roman" w:hAnsi="Times New Roman"/>
          <w:b/>
          <w:color w:val="222222"/>
          <w:sz w:val="22"/>
          <w:szCs w:val="22"/>
        </w:rPr>
        <w:t>London dominira kao</w:t>
      </w:r>
    </w:p>
    <w:p w:rsidR="00F81D87" w:rsidRPr="00C00494" w:rsidRDefault="00F81D87">
      <w:pPr>
        <w:spacing w:line="1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 w:rsidP="00C00494">
      <w:pPr>
        <w:spacing w:line="257" w:lineRule="auto"/>
        <w:ind w:left="3820" w:right="80" w:hanging="3723"/>
        <w:jc w:val="center"/>
        <w:rPr>
          <w:rFonts w:ascii="Times New Roman" w:hAnsi="Times New Roman"/>
          <w:b/>
          <w:color w:val="222222"/>
          <w:sz w:val="22"/>
          <w:szCs w:val="22"/>
        </w:rPr>
      </w:pPr>
      <w:r w:rsidRPr="00C00494">
        <w:rPr>
          <w:rFonts w:ascii="Times New Roman" w:hAnsi="Times New Roman"/>
          <w:b/>
          <w:color w:val="222222"/>
          <w:sz w:val="22"/>
          <w:szCs w:val="22"/>
        </w:rPr>
        <w:t>Europski grad budućnosti u izravnim stranim ulaganjima</w:t>
      </w:r>
    </w:p>
    <w:p w:rsidR="00F81D87" w:rsidRPr="00C00494" w:rsidRDefault="00F81D87">
      <w:pPr>
        <w:spacing w:line="271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ind w:left="640"/>
        <w:rPr>
          <w:rFonts w:ascii="Times New Roman" w:hAnsi="Times New Roman"/>
          <w:b/>
          <w:i/>
          <w:color w:val="222222"/>
          <w:sz w:val="22"/>
          <w:szCs w:val="22"/>
        </w:rPr>
      </w:pPr>
      <w:r w:rsidRPr="00C00494">
        <w:rPr>
          <w:rFonts w:ascii="Times New Roman" w:hAnsi="Times New Roman"/>
          <w:b/>
          <w:i/>
          <w:color w:val="222222"/>
          <w:sz w:val="22"/>
          <w:szCs w:val="22"/>
        </w:rPr>
        <w:t>Sjevern</w:t>
      </w:r>
      <w:r>
        <w:rPr>
          <w:rFonts w:ascii="Times New Roman" w:hAnsi="Times New Roman"/>
          <w:b/>
          <w:i/>
          <w:color w:val="222222"/>
          <w:sz w:val="22"/>
          <w:szCs w:val="22"/>
        </w:rPr>
        <w:t xml:space="preserve">a Rajna-Vestfalija u Njemačkoj </w:t>
      </w:r>
      <w:r w:rsidRPr="00C00494">
        <w:rPr>
          <w:rFonts w:ascii="Times New Roman" w:hAnsi="Times New Roman"/>
          <w:b/>
          <w:i/>
          <w:color w:val="222222"/>
          <w:sz w:val="22"/>
          <w:szCs w:val="22"/>
        </w:rPr>
        <w:t>zauzela je prvo mjesto među europskim regijama.</w:t>
      </w:r>
    </w:p>
    <w:p w:rsidR="00F81D87" w:rsidRPr="00C00494" w:rsidRDefault="00F81D87">
      <w:pPr>
        <w:spacing w:line="20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5" w:lineRule="auto"/>
        <w:ind w:right="14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>15. veljače 2016. godine: U studiji o najperspektivnijim investicijskim lokacijama u Europi</w:t>
      </w:r>
      <w:r w:rsidRPr="00C00494">
        <w:rPr>
          <w:rFonts w:ascii="Times New Roman" w:hAnsi="Times New Roman"/>
          <w:sz w:val="22"/>
          <w:szCs w:val="22"/>
        </w:rPr>
        <w:t>,</w:t>
      </w:r>
      <w:r w:rsidRPr="00C0049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b/>
          <w:sz w:val="22"/>
          <w:szCs w:val="22"/>
        </w:rPr>
        <w:t xml:space="preserve"> Magazin </w:t>
      </w:r>
      <w:r w:rsidRPr="00C00494">
        <w:rPr>
          <w:rFonts w:ascii="Times New Roman" w:hAnsi="Times New Roman"/>
          <w:sz w:val="22"/>
          <w:szCs w:val="22"/>
        </w:rPr>
        <w:t xml:space="preserve">- publikacija lista Financial </w:t>
      </w:r>
      <w:proofErr w:type="spellStart"/>
      <w:r w:rsidRPr="00C00494">
        <w:rPr>
          <w:rFonts w:ascii="Times New Roman" w:hAnsi="Times New Roman"/>
          <w:sz w:val="22"/>
          <w:szCs w:val="22"/>
        </w:rPr>
        <w:t>Times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- dodijelio je Londonu i Sjevernoj</w:t>
      </w:r>
      <w:r w:rsidRPr="00C00494">
        <w:rPr>
          <w:rFonts w:ascii="Times New Roman" w:hAnsi="Times New Roman"/>
          <w:b/>
          <w:sz w:val="22"/>
          <w:szCs w:val="22"/>
        </w:rPr>
        <w:t xml:space="preserve"> </w:t>
      </w:r>
      <w:r w:rsidRPr="00C00494">
        <w:rPr>
          <w:rFonts w:ascii="Times New Roman" w:hAnsi="Times New Roman"/>
          <w:sz w:val="22"/>
          <w:szCs w:val="22"/>
        </w:rPr>
        <w:t>Rajni-Vestfaliji u Njemačkoj naslov Europskog grada i regije budućnosti 2016./17.</w:t>
      </w:r>
    </w:p>
    <w:p w:rsidR="00F81D87" w:rsidRPr="00C00494" w:rsidRDefault="00F81D87">
      <w:pPr>
        <w:spacing w:line="16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300" w:lineRule="auto"/>
        <w:ind w:right="16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London - koji drži poziciju od 2006. godine - zv</w:t>
      </w:r>
      <w:r w:rsidR="00740DD3">
        <w:rPr>
          <w:rFonts w:ascii="Times New Roman" w:hAnsi="Times New Roman"/>
          <w:sz w:val="22"/>
          <w:szCs w:val="22"/>
        </w:rPr>
        <w:t>i</w:t>
      </w:r>
      <w:r w:rsidRPr="00C00494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 xml:space="preserve">ezda je vodilja za investitore i </w:t>
      </w:r>
      <w:r w:rsidRPr="00C00494">
        <w:rPr>
          <w:rFonts w:ascii="Times New Roman" w:hAnsi="Times New Roman"/>
          <w:sz w:val="22"/>
          <w:szCs w:val="22"/>
        </w:rPr>
        <w:t xml:space="preserve">vrlo je uspješan u tom rangiranju, a također je imenovan Sjevernim gradom i Velikim europskim gradom budućnosti za 2016./17. godinu. Moć Londona da privuče najveći broj projekata izravnih stranih ulaganja (FDI) od bilo kojeg europskog grada utjecala je na ovogodišnje rezultate, </w:t>
      </w:r>
      <w:r>
        <w:rPr>
          <w:rFonts w:ascii="Times New Roman" w:hAnsi="Times New Roman"/>
          <w:sz w:val="22"/>
          <w:szCs w:val="22"/>
        </w:rPr>
        <w:t>i donijela</w:t>
      </w:r>
      <w:r w:rsidRPr="00C00494">
        <w:rPr>
          <w:rFonts w:ascii="Times New Roman" w:hAnsi="Times New Roman"/>
          <w:sz w:val="22"/>
          <w:szCs w:val="22"/>
        </w:rPr>
        <w:t xml:space="preserve"> više od 1600 projekata u razdoblju od 2010. do 2014. godine.</w:t>
      </w:r>
    </w:p>
    <w:p w:rsidR="00F81D87" w:rsidRPr="00C00494" w:rsidRDefault="00F81D87">
      <w:pPr>
        <w:spacing w:line="15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8" w:lineRule="auto"/>
        <w:ind w:right="140"/>
        <w:jc w:val="both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Među europskim regijama, Sjeverna Rajna-Vestfalija je bila uspješna u više kategorija, te je također imenovana Zapadnoeuropskom regijom budućnosti 2016./17. i osvojila je prvo mjesto u poretku Velikih europskih regija.</w:t>
      </w:r>
    </w:p>
    <w:p w:rsidR="00F81D87" w:rsidRPr="00C00494" w:rsidRDefault="00F81D87">
      <w:pPr>
        <w:spacing w:line="16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8" w:lineRule="auto"/>
        <w:ind w:right="12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Köln, grad u njemačkoj pokrajini Sjeverna Rajna-Vestfalija, osvojio je drugo mjesto među svim većim europskim gradovima u kategoriji </w:t>
      </w:r>
      <w:proofErr w:type="spellStart"/>
      <w:r w:rsidRPr="00C00494">
        <w:rPr>
          <w:rFonts w:ascii="Times New Roman" w:hAnsi="Times New Roman"/>
          <w:sz w:val="22"/>
          <w:szCs w:val="22"/>
        </w:rPr>
        <w:t>Povezivost</w:t>
      </w:r>
      <w:proofErr w:type="spellEnd"/>
      <w:r w:rsidRPr="00C00494">
        <w:rPr>
          <w:rFonts w:ascii="Times New Roman" w:hAnsi="Times New Roman"/>
          <w:sz w:val="22"/>
          <w:szCs w:val="22"/>
        </w:rPr>
        <w:t>. Njemački gradovi su zauzeli pet od 10 najboljih mjesta u ovoj kategoriji, dok je zemlja bila uspješna.</w:t>
      </w:r>
    </w:p>
    <w:p w:rsidR="00F81D87" w:rsidRPr="00C00494" w:rsidRDefault="00F81D87">
      <w:pPr>
        <w:spacing w:line="16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8" w:lineRule="auto"/>
        <w:ind w:right="22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London je imao jaku konkurenciju Pariza koji je završio na drugom mjestu, a Dublin na trećem. Pariz je također bio proglašen Zapadnoeuropskim gr</w:t>
      </w:r>
      <w:bookmarkStart w:id="1" w:name="_GoBack"/>
      <w:bookmarkEnd w:id="1"/>
      <w:r w:rsidRPr="00C00494">
        <w:rPr>
          <w:rFonts w:ascii="Times New Roman" w:hAnsi="Times New Roman"/>
          <w:sz w:val="22"/>
          <w:szCs w:val="22"/>
        </w:rPr>
        <w:t>adom budućnosti i zauzeo drugo mjesto u kategoriji Velikih europskih gradova.</w:t>
      </w:r>
    </w:p>
    <w:p w:rsidR="00F81D87" w:rsidRPr="00C00494" w:rsidRDefault="00F81D87">
      <w:pPr>
        <w:spacing w:line="16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8" w:lineRule="auto"/>
        <w:ind w:right="18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Francuska pokrajina </w:t>
      </w:r>
      <w:proofErr w:type="spellStart"/>
      <w:r w:rsidRPr="00C00494">
        <w:rPr>
          <w:rFonts w:ascii="Times New Roman" w:hAnsi="Times New Roman"/>
          <w:sz w:val="22"/>
          <w:szCs w:val="22"/>
        </w:rPr>
        <w:t>Île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-de-France, u kojoj se nalazi glavni grad Pariz, </w:t>
      </w:r>
      <w:r>
        <w:rPr>
          <w:rFonts w:ascii="Times New Roman" w:hAnsi="Times New Roman"/>
          <w:sz w:val="22"/>
          <w:szCs w:val="22"/>
        </w:rPr>
        <w:t>zauzela</w:t>
      </w:r>
      <w:r w:rsidRPr="00C00494">
        <w:rPr>
          <w:rFonts w:ascii="Times New Roman" w:hAnsi="Times New Roman"/>
          <w:sz w:val="22"/>
          <w:szCs w:val="22"/>
        </w:rPr>
        <w:t xml:space="preserve"> je drugo mjesto. Također je zauzela drugo mjesto među svim zapadnoeuropskim regijama, i prvo mjesto u kategoriji Većih europskih regija.</w:t>
      </w:r>
    </w:p>
    <w:p w:rsidR="00F81D87" w:rsidRPr="00C00494" w:rsidRDefault="00F81D87">
      <w:pPr>
        <w:spacing w:line="16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325" w:lineRule="auto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Španjolski grad Barcelona plasirao se na prvo mjesto na kontinentu u Strategiji izravnih stranih ulaganja. </w:t>
      </w:r>
      <w:r>
        <w:rPr>
          <w:rFonts w:ascii="Times New Roman" w:hAnsi="Times New Roman"/>
          <w:sz w:val="22"/>
          <w:szCs w:val="22"/>
        </w:rPr>
        <w:t>Njegove</w:t>
      </w:r>
      <w:r w:rsidRPr="00C00494">
        <w:rPr>
          <w:rFonts w:ascii="Times New Roman" w:hAnsi="Times New Roman"/>
          <w:sz w:val="22"/>
          <w:szCs w:val="22"/>
        </w:rPr>
        <w:t xml:space="preserve"> politike privlačenja investitora vodeće su u poretku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>-a za velike gradove, ispred Londona i Stockholma.</w:t>
      </w:r>
    </w:p>
    <w:p w:rsidR="00F81D87" w:rsidRPr="00C00494" w:rsidRDefault="00F81D87">
      <w:pPr>
        <w:spacing w:line="125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5" w:lineRule="auto"/>
        <w:ind w:right="14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"Ovo su najrenomiranije i najistaknutije ljestvice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Magazina i ponosni smo predstaviti ovogodišnje rezultate. Gradovi i regije koji su se dobro pozicionirali </w:t>
      </w:r>
      <w:r>
        <w:rPr>
          <w:rFonts w:ascii="Times New Roman" w:hAnsi="Times New Roman"/>
          <w:sz w:val="22"/>
          <w:szCs w:val="22"/>
        </w:rPr>
        <w:t>na našim ljestvicama</w:t>
      </w:r>
      <w:r w:rsidRPr="00C00494">
        <w:rPr>
          <w:rFonts w:ascii="Times New Roman" w:hAnsi="Times New Roman"/>
          <w:sz w:val="22"/>
          <w:szCs w:val="22"/>
        </w:rPr>
        <w:t xml:space="preserve"> trebaju biti ponosni i pozdravljamo njihov uspjeh ", komentirao je </w:t>
      </w:r>
      <w:proofErr w:type="spellStart"/>
      <w:r w:rsidRPr="00C00494">
        <w:rPr>
          <w:rFonts w:ascii="Times New Roman" w:hAnsi="Times New Roman"/>
          <w:sz w:val="22"/>
          <w:szCs w:val="22"/>
        </w:rPr>
        <w:t>Courtney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Fingar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, glavni urednik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Magazina.</w:t>
      </w:r>
    </w:p>
    <w:p w:rsidR="00F81D87" w:rsidRPr="00C00494" w:rsidRDefault="00F81D87">
      <w:pPr>
        <w:spacing w:line="16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Izdvajamo:</w:t>
      </w:r>
    </w:p>
    <w:p w:rsidR="00F81D87" w:rsidRPr="00C00494" w:rsidRDefault="00F81D87">
      <w:pPr>
        <w:spacing w:line="31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numPr>
          <w:ilvl w:val="0"/>
          <w:numId w:val="1"/>
        </w:numPr>
        <w:tabs>
          <w:tab w:val="left" w:pos="720"/>
        </w:tabs>
        <w:spacing w:line="240" w:lineRule="atLeast"/>
        <w:ind w:left="720" w:right="560" w:hanging="363"/>
        <w:jc w:val="both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Softverske i IT usluge su najveći sektor priljeva izravnih stranih ulaganja u London, odgovoran za 40% svih investicija u gradu, u odnosu na 35% u prethodnom rangiranju.</w:t>
      </w:r>
    </w:p>
    <w:p w:rsidR="00F81D87" w:rsidRPr="00C00494" w:rsidRDefault="00F81D87">
      <w:pPr>
        <w:spacing w:line="1" w:lineRule="exact"/>
        <w:rPr>
          <w:rFonts w:ascii="Times New Roman" w:eastAsia="UnBatang" w:hAnsi="Times New Roman"/>
          <w:sz w:val="22"/>
          <w:szCs w:val="22"/>
        </w:rPr>
      </w:pPr>
    </w:p>
    <w:p w:rsidR="00F81D87" w:rsidRPr="00C00494" w:rsidRDefault="00F81D87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100" w:hanging="363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Dublin je popravio svoj plasman u 2016./17.</w:t>
      </w:r>
      <w:r>
        <w:rPr>
          <w:rFonts w:ascii="Times New Roman" w:hAnsi="Times New Roman"/>
          <w:sz w:val="22"/>
          <w:szCs w:val="22"/>
        </w:rPr>
        <w:t xml:space="preserve"> godini</w:t>
      </w:r>
      <w:r w:rsidRPr="00C00494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popevši se s</w:t>
      </w:r>
      <w:r w:rsidRPr="00C00494">
        <w:rPr>
          <w:rFonts w:ascii="Times New Roman" w:hAnsi="Times New Roman"/>
          <w:sz w:val="22"/>
          <w:szCs w:val="22"/>
        </w:rPr>
        <w:t xml:space="preserve"> petog mjesta 2014./15. na treće mjesto. Grad je postao žarište za ulaganja u softver i IT, a sektor privlači više od 45% ukupnog priljeva izravnih stranih ulaganja u Dublin u razdoblju od 2010. do 2014. godine.</w:t>
      </w:r>
    </w:p>
    <w:p w:rsidR="00F81D87" w:rsidRPr="00C00494" w:rsidRDefault="00F81D87">
      <w:pPr>
        <w:spacing w:line="2" w:lineRule="exact"/>
        <w:rPr>
          <w:rFonts w:ascii="Times New Roman" w:eastAsia="UnBatang" w:hAnsi="Times New Roman"/>
          <w:sz w:val="22"/>
          <w:szCs w:val="22"/>
        </w:rPr>
      </w:pPr>
    </w:p>
    <w:p w:rsidR="00F81D87" w:rsidRPr="00C00494" w:rsidRDefault="00F81D87">
      <w:pPr>
        <w:numPr>
          <w:ilvl w:val="0"/>
          <w:numId w:val="1"/>
        </w:numPr>
        <w:tabs>
          <w:tab w:val="left" w:pos="720"/>
        </w:tabs>
        <w:spacing w:line="249" w:lineRule="auto"/>
        <w:ind w:left="720" w:right="100" w:hanging="363"/>
        <w:jc w:val="both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München se smjestio na vrh izlaznih izravnih stranih ulaganja, s više poduzeća koja investiraju u inozemstvo nego Berlin i Frankfurt.</w:t>
      </w:r>
    </w:p>
    <w:p w:rsidR="00F81D87" w:rsidRPr="00C00494" w:rsidRDefault="00F81D87">
      <w:pPr>
        <w:numPr>
          <w:ilvl w:val="0"/>
          <w:numId w:val="2"/>
        </w:numPr>
        <w:tabs>
          <w:tab w:val="left" w:pos="720"/>
        </w:tabs>
        <w:spacing w:line="240" w:lineRule="atLeast"/>
        <w:ind w:left="720" w:right="340" w:hanging="363"/>
        <w:jc w:val="both"/>
        <w:rPr>
          <w:rFonts w:ascii="Times New Roman" w:eastAsia="UnBatang" w:hAnsi="Times New Roman"/>
          <w:sz w:val="22"/>
          <w:szCs w:val="22"/>
        </w:rPr>
      </w:pPr>
      <w:bookmarkStart w:id="2" w:name="page2"/>
      <w:bookmarkEnd w:id="2"/>
      <w:r w:rsidRPr="00C00494">
        <w:rPr>
          <w:rFonts w:ascii="Times New Roman" w:hAnsi="Times New Roman"/>
          <w:sz w:val="22"/>
          <w:szCs w:val="22"/>
        </w:rPr>
        <w:lastRenderedPageBreak/>
        <w:t>Britanska regija Jugoistočna Engleska, najmnogoljudnija od svih britanskih regija, popela se za devet mjesta u odnosu na svoju poziciju 2014./15. te je u ukupnom poretku zauzela treće mjesto.</w:t>
      </w:r>
    </w:p>
    <w:p w:rsidR="00F81D87" w:rsidRPr="00C00494" w:rsidRDefault="00F81D87">
      <w:pPr>
        <w:spacing w:line="1" w:lineRule="exact"/>
        <w:rPr>
          <w:rFonts w:ascii="Times New Roman" w:eastAsia="UnBatang" w:hAnsi="Times New Roman"/>
          <w:sz w:val="22"/>
          <w:szCs w:val="22"/>
        </w:rPr>
      </w:pPr>
    </w:p>
    <w:p w:rsidR="00F81D87" w:rsidRPr="00C00494" w:rsidRDefault="00F81D87">
      <w:pPr>
        <w:numPr>
          <w:ilvl w:val="0"/>
          <w:numId w:val="2"/>
        </w:numPr>
        <w:tabs>
          <w:tab w:val="left" w:pos="720"/>
        </w:tabs>
        <w:spacing w:line="238" w:lineRule="auto"/>
        <w:ind w:left="720" w:right="320" w:hanging="363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Kijevska oblast u Ukrajini imala je najpristupačnije cijene rada od svih analiziranih europskih regija, u tri seta vještina, zahvaljujući čemu je ušla među 10 najboljih u kategoriji Isplativost među Srednje velikim europskim regijama.</w:t>
      </w:r>
    </w:p>
    <w:p w:rsidR="00F81D87" w:rsidRPr="00C00494" w:rsidRDefault="00F81D87">
      <w:pPr>
        <w:numPr>
          <w:ilvl w:val="0"/>
          <w:numId w:val="2"/>
        </w:numPr>
        <w:tabs>
          <w:tab w:val="left" w:pos="720"/>
        </w:tabs>
        <w:spacing w:line="238" w:lineRule="auto"/>
        <w:ind w:left="720" w:hanging="363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Škotska je vodeća regija u Strategiji izravnih stranih ulaganja u poretku Europskih gradova i regija budućnosti 2016./17. Regija je imala najveći broj projekata proširenja na 100 000 stanovnika od svih analiziranih europskih regija.</w:t>
      </w:r>
    </w:p>
    <w:p w:rsidR="00F81D87" w:rsidRPr="00C00494" w:rsidRDefault="00F81D87">
      <w:pPr>
        <w:numPr>
          <w:ilvl w:val="0"/>
          <w:numId w:val="2"/>
        </w:numPr>
        <w:tabs>
          <w:tab w:val="left" w:pos="720"/>
        </w:tabs>
        <w:spacing w:line="237" w:lineRule="auto"/>
        <w:ind w:left="720" w:right="120" w:hanging="363"/>
        <w:jc w:val="both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Sjeverna Rajna-Vestfalija zauzela je drugo mjesto među svim većim europskim regijama u Strategiji izravnih stranih ulaganja, a slijedi ju Lombardija na trećem - najveća regija u Italiji.</w:t>
      </w:r>
    </w:p>
    <w:p w:rsidR="00F81D87" w:rsidRPr="00C00494" w:rsidRDefault="00F81D87">
      <w:pPr>
        <w:numPr>
          <w:ilvl w:val="0"/>
          <w:numId w:val="2"/>
        </w:numPr>
        <w:tabs>
          <w:tab w:val="left" w:pos="720"/>
        </w:tabs>
        <w:spacing w:line="243" w:lineRule="auto"/>
        <w:ind w:left="720" w:right="100" w:hanging="363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Od svih 39 analiziranih britanskih lokalnih poduzetničkih partnerstava (LEP), London je ostvario najveći BDP po paritetu kupovne moći (PPP) u apsolutnom iznosu, kao i na 100 000 stanovnika.</w:t>
      </w:r>
    </w:p>
    <w:p w:rsidR="00F81D87" w:rsidRPr="00C00494" w:rsidRDefault="00F81D87">
      <w:pPr>
        <w:numPr>
          <w:ilvl w:val="0"/>
          <w:numId w:val="2"/>
        </w:numPr>
        <w:tabs>
          <w:tab w:val="left" w:pos="720"/>
        </w:tabs>
        <w:spacing w:line="248" w:lineRule="auto"/>
        <w:ind w:left="720" w:right="280" w:hanging="363"/>
        <w:rPr>
          <w:rFonts w:ascii="Times New Roman" w:eastAsia="UnBatang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Okrugu </w:t>
      </w:r>
      <w:proofErr w:type="spellStart"/>
      <w:r w:rsidRPr="00C00494">
        <w:rPr>
          <w:rFonts w:ascii="Times New Roman" w:hAnsi="Times New Roman"/>
          <w:sz w:val="22"/>
          <w:szCs w:val="22"/>
        </w:rPr>
        <w:t>Greater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Manchester je dodijeljeno prvo mjesto u kategoriji Strategije izravnih stranih ulaganja za lokalna poduzetnička partnerstva. Strategija internacionalizacije koja se provodi u lokalnim poduzetničkim partnerstvima pruža trogodišnje planove za ciljne zemlje izvora.</w:t>
      </w:r>
    </w:p>
    <w:p w:rsidR="00F81D87" w:rsidRPr="00C00494" w:rsidRDefault="00F81D87">
      <w:pPr>
        <w:spacing w:line="243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ind w:left="4140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>­kraj­</w:t>
      </w:r>
    </w:p>
    <w:p w:rsidR="00F81D87" w:rsidRPr="00C00494" w:rsidRDefault="00F81D87">
      <w:pPr>
        <w:spacing w:line="28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1" w:lineRule="auto"/>
        <w:ind w:right="80"/>
        <w:rPr>
          <w:rFonts w:ascii="Times New Roman" w:hAnsi="Times New Roman"/>
          <w:color w:val="0000FF"/>
          <w:sz w:val="22"/>
          <w:szCs w:val="22"/>
          <w:u w:val="single"/>
        </w:rPr>
      </w:pPr>
      <w:r w:rsidRPr="00C00494">
        <w:rPr>
          <w:rFonts w:ascii="Times New Roman" w:hAnsi="Times New Roman"/>
          <w:sz w:val="22"/>
          <w:szCs w:val="22"/>
        </w:rPr>
        <w:t xml:space="preserve">Za više informacija obratite se kontakt osobi: </w:t>
      </w:r>
      <w:proofErr w:type="spellStart"/>
      <w:r w:rsidRPr="00C00494">
        <w:rPr>
          <w:rFonts w:ascii="Times New Roman" w:hAnsi="Times New Roman"/>
          <w:sz w:val="22"/>
          <w:szCs w:val="22"/>
        </w:rPr>
        <w:t>Jay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Seenundun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, na </w:t>
      </w:r>
      <w:proofErr w:type="spellStart"/>
      <w:r w:rsidRPr="00C00494">
        <w:rPr>
          <w:rFonts w:ascii="Times New Roman" w:hAnsi="Times New Roman"/>
          <w:color w:val="0000FF"/>
          <w:sz w:val="22"/>
          <w:szCs w:val="22"/>
          <w:u w:val="single"/>
        </w:rPr>
        <w:t>jay.seenundun</w:t>
      </w:r>
      <w:proofErr w:type="spellEnd"/>
      <w:r w:rsidRPr="00C00494">
        <w:rPr>
          <w:rFonts w:ascii="Times New Roman" w:hAnsi="Times New Roman"/>
          <w:color w:val="0000FF"/>
          <w:sz w:val="22"/>
          <w:szCs w:val="22"/>
          <w:u w:val="single"/>
        </w:rPr>
        <w:t>@ft.com</w:t>
      </w:r>
      <w:r w:rsidRPr="00C00494">
        <w:rPr>
          <w:rFonts w:ascii="Times New Roman" w:hAnsi="Times New Roman"/>
          <w:sz w:val="22"/>
          <w:szCs w:val="22"/>
        </w:rPr>
        <w:t xml:space="preserve"> ili nazovite +44(0)20 7775 6896. Potpuni rezultati dostupni su na: </w:t>
      </w:r>
      <w:r w:rsidRPr="00C00494">
        <w:rPr>
          <w:rFonts w:ascii="Times New Roman" w:hAnsi="Times New Roman"/>
          <w:color w:val="0000FF"/>
          <w:sz w:val="22"/>
          <w:szCs w:val="22"/>
          <w:u w:val="single"/>
        </w:rPr>
        <w:t>http://www.fdiintelligence.com/Rankings/European­Cities­and­Regions­of­the­Future­ 2016­17</w:t>
      </w:r>
    </w:p>
    <w:p w:rsidR="00F81D87" w:rsidRPr="00C00494" w:rsidRDefault="00740DD3">
      <w:pPr>
        <w:spacing w:line="4" w:lineRule="exact"/>
        <w:rPr>
          <w:rFonts w:ascii="Times New Roman" w:hAnsi="Times New Roman"/>
          <w:sz w:val="22"/>
          <w:szCs w:val="22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95pt;margin-top:-12.9pt;width:45.2pt;height:14.15pt;z-index:-251658752" o:allowincell="f">
            <v:imagedata r:id="rId6" o:title=""/>
          </v:shape>
        </w:pict>
      </w: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Za pristup stranici potrebna je kratka registracija.</w:t>
      </w:r>
    </w:p>
    <w:p w:rsidR="00F81D87" w:rsidRPr="00C00494" w:rsidRDefault="00F81D87">
      <w:pPr>
        <w:spacing w:line="26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ind w:left="3600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>Bilješke urednicima</w:t>
      </w:r>
    </w:p>
    <w:p w:rsidR="00F81D87" w:rsidRPr="00C00494" w:rsidRDefault="00F81D87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>Metodologija rangiranja</w:t>
      </w:r>
    </w:p>
    <w:p w:rsidR="00F81D87" w:rsidRPr="00C00494" w:rsidRDefault="00F81D87">
      <w:pPr>
        <w:spacing w:line="236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312" w:lineRule="auto"/>
        <w:ind w:right="460"/>
        <w:jc w:val="both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Za izradu</w:t>
      </w:r>
      <w:r>
        <w:rPr>
          <w:rFonts w:ascii="Times New Roman" w:hAnsi="Times New Roman"/>
          <w:sz w:val="22"/>
          <w:szCs w:val="22"/>
        </w:rPr>
        <w:t xml:space="preserve"> </w:t>
      </w:r>
      <w:r w:rsidRPr="00C00494">
        <w:rPr>
          <w:rFonts w:ascii="Times New Roman" w:hAnsi="Times New Roman"/>
          <w:sz w:val="22"/>
          <w:szCs w:val="22"/>
        </w:rPr>
        <w:t xml:space="preserve">užeg izbora za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ljestvicu Europskih gradova i regija budućnosti 2016./17.,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Obavještajni odjel lista Financial </w:t>
      </w:r>
      <w:proofErr w:type="spellStart"/>
      <w:r w:rsidRPr="00C00494">
        <w:rPr>
          <w:rFonts w:ascii="Times New Roman" w:hAnsi="Times New Roman"/>
          <w:sz w:val="22"/>
          <w:szCs w:val="22"/>
        </w:rPr>
        <w:t>Times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prikupio je podatke pomoću specijaliziranih </w:t>
      </w:r>
      <w:proofErr w:type="spellStart"/>
      <w:r w:rsidRPr="00C00494">
        <w:rPr>
          <w:rFonts w:ascii="Times New Roman" w:hAnsi="Times New Roman"/>
          <w:sz w:val="22"/>
          <w:szCs w:val="22"/>
        </w:rPr>
        <w:t>online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alata za izravna strana ulaganja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Benchmark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Markets</w:t>
      </w:r>
      <w:proofErr w:type="spellEnd"/>
      <w:r w:rsidRPr="00C00494">
        <w:rPr>
          <w:rFonts w:ascii="Times New Roman" w:hAnsi="Times New Roman"/>
          <w:sz w:val="22"/>
          <w:szCs w:val="22"/>
        </w:rPr>
        <w:t>, kao i drugih izvora.</w:t>
      </w:r>
    </w:p>
    <w:p w:rsidR="00F81D87" w:rsidRPr="00C00494" w:rsidRDefault="00F81D87">
      <w:pPr>
        <w:spacing w:line="142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1" w:lineRule="auto"/>
        <w:ind w:right="22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Podaci su prikupljeni za 481 lokacije (294 gradova, 148 regija i 39 lokalnih poduzetničkih partnerstava) i to u pet kategorija: Gospodarski potencijal, Radno okruženje, Isplativost, Infrastruktura i Naklonjenost poduzetništvu. Lokacije su bile bodovane s najviše 10 bodova za svaku točku, a koji su dodijeljeni prema važnosti za proces donošenja odluka u izravnim stranim ulaganjima radi sastavljanja ljestvica po </w:t>
      </w:r>
      <w:proofErr w:type="spellStart"/>
      <w:r w:rsidRPr="00C00494">
        <w:rPr>
          <w:rFonts w:ascii="Times New Roman" w:hAnsi="Times New Roman"/>
          <w:sz w:val="22"/>
          <w:szCs w:val="22"/>
        </w:rPr>
        <w:t>podkategorijama</w:t>
      </w:r>
      <w:proofErr w:type="spellEnd"/>
      <w:r w:rsidRPr="00C00494">
        <w:rPr>
          <w:rFonts w:ascii="Times New Roman" w:hAnsi="Times New Roman"/>
          <w:sz w:val="22"/>
          <w:szCs w:val="22"/>
        </w:rPr>
        <w:t>, kao i ukupne ljestvice Europskih gradova i regija budućnosti 2016./17.</w:t>
      </w:r>
    </w:p>
    <w:p w:rsidR="00F81D87" w:rsidRPr="00C00494" w:rsidRDefault="00F81D87">
      <w:pPr>
        <w:spacing w:line="170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80" w:lineRule="auto"/>
        <w:ind w:right="4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Osim toga, prikupljena su istraživanja u šestoj kategoriji, Strategija izravnih stranih ulaganja, za koju je bilo 190 prijava. U ovoj su kategoriji lokacije predale podatke o svojoj strategiji za promicanje izravnih stranih ulaganja, koje je tada ocijenio ocjenjivački sud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-a u kojem je pored članova uredničkih i istraživačkih timova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-a ove godine sudjelovao i Douglas Clark, direktor konzultantskog poduzeća </w:t>
      </w:r>
      <w:proofErr w:type="spellStart"/>
      <w:r w:rsidRPr="00C00494">
        <w:rPr>
          <w:rFonts w:ascii="Times New Roman" w:hAnsi="Times New Roman"/>
          <w:sz w:val="22"/>
          <w:szCs w:val="22"/>
        </w:rPr>
        <w:t>Location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Connections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</w:t>
      </w:r>
      <w:r w:rsidRPr="00C00494">
        <w:rPr>
          <w:rFonts w:ascii="Times New Roman" w:hAnsi="Times New Roman"/>
          <w:sz w:val="22"/>
          <w:szCs w:val="22"/>
        </w:rPr>
        <w:t xml:space="preserve"> prethodnim </w:t>
      </w:r>
      <w:r>
        <w:rPr>
          <w:rFonts w:ascii="Times New Roman" w:hAnsi="Times New Roman"/>
          <w:sz w:val="22"/>
          <w:szCs w:val="22"/>
        </w:rPr>
        <w:t>rangiranjima</w:t>
      </w:r>
      <w:r w:rsidRPr="00C00494">
        <w:rPr>
          <w:rFonts w:ascii="Times New Roman" w:hAnsi="Times New Roman"/>
          <w:sz w:val="22"/>
          <w:szCs w:val="22"/>
        </w:rPr>
        <w:t xml:space="preserve"> je Strategija izravnih stranih ulaganja bila uključena u ukupni poredak. Međutim, radi odvajanja potpuno kvalitativnih i kvantitativnih podataka, odlučili smo sastaviti Strategiju izravnih stranih ulaganja kao samostalnu ljestvicu.</w:t>
      </w:r>
    </w:p>
    <w:p w:rsidR="00F81D87" w:rsidRPr="00C00494" w:rsidRDefault="00F81D87">
      <w:pPr>
        <w:spacing w:line="200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7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lastRenderedPageBreak/>
        <w:t>Metodologija kategorija prema broju stanovnika</w:t>
      </w:r>
    </w:p>
    <w:p w:rsidR="00F81D87" w:rsidRPr="00C00494" w:rsidRDefault="00F81D87">
      <w:pPr>
        <w:spacing w:line="236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 w:rsidP="00C00494">
      <w:pPr>
        <w:spacing w:line="334" w:lineRule="auto"/>
        <w:ind w:right="8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Radi kategoriziranja gradova,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je uzeo u obzir i broj stanovnika u dotičnom gradu i na širem gradskom području. Osim toga, što se tiče lokacija u kategoriji većih ili</w:t>
      </w:r>
      <w:bookmarkStart w:id="3" w:name="page3"/>
      <w:bookmarkEnd w:id="3"/>
      <w:r w:rsidRPr="00C00494">
        <w:rPr>
          <w:rFonts w:ascii="Times New Roman" w:hAnsi="Times New Roman"/>
          <w:sz w:val="22"/>
          <w:szCs w:val="22"/>
        </w:rPr>
        <w:t xml:space="preserve"> velikih gradova, priljev izravnih stranih ulaganja dotičnoj lokaciji uzet je u obzir kao postotak ukupnog iznosa zemlje.</w:t>
      </w:r>
    </w:p>
    <w:p w:rsidR="00F81D87" w:rsidRPr="00C00494" w:rsidRDefault="00F81D87">
      <w:pPr>
        <w:spacing w:line="149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  <w:u w:val="single"/>
        </w:rPr>
      </w:pPr>
      <w:r w:rsidRPr="00C00494">
        <w:rPr>
          <w:rFonts w:ascii="Times New Roman" w:hAnsi="Times New Roman"/>
          <w:sz w:val="22"/>
          <w:szCs w:val="22"/>
          <w:u w:val="single"/>
        </w:rPr>
        <w:t>Kategorije prema veličini grada</w:t>
      </w:r>
    </w:p>
    <w:p w:rsidR="00F81D87" w:rsidRPr="00C00494" w:rsidRDefault="00F81D87">
      <w:pPr>
        <w:spacing w:line="236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75" w:lineRule="auto"/>
        <w:ind w:right="24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Veliki gradovi: Gradovi u ovoj kategoriji imaju više od 750 000 stanovnika te šire gradsko područje s više od 2 milijuna stanovnika , ili šire gradsko područje s više od 4 milijuna.</w:t>
      </w:r>
    </w:p>
    <w:p w:rsidR="00F81D87" w:rsidRPr="00C00494" w:rsidRDefault="00F81D87">
      <w:pPr>
        <w:spacing w:line="2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75" w:lineRule="auto"/>
        <w:ind w:right="6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Veći gradovi: gradovi s više od 500 000 stanovnika te širim gradskim područjem s više od 1 milijun stanovnika ili širim gradskim područjem s više od 2 milijuna stanovnika.</w:t>
      </w:r>
    </w:p>
    <w:p w:rsidR="00F81D87" w:rsidRPr="00C00494" w:rsidRDefault="00F81D87">
      <w:pPr>
        <w:spacing w:line="2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75" w:lineRule="auto"/>
        <w:ind w:right="28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Srednje veliki gradovi: Gradovi s više od 200 000 stanovnika te širim gradskim područjem s više od 750 000 stanovnika, ili neposrednom populacijom od više od 350 000 ljudi.</w:t>
      </w:r>
    </w:p>
    <w:p w:rsidR="00F81D87" w:rsidRPr="00C00494" w:rsidRDefault="00F81D87">
      <w:pPr>
        <w:spacing w:line="2" w:lineRule="exact"/>
        <w:rPr>
          <w:rFonts w:ascii="Times New Roman" w:hAnsi="Times New Roman"/>
          <w:sz w:val="22"/>
          <w:szCs w:val="22"/>
        </w:rPr>
      </w:pPr>
    </w:p>
    <w:p w:rsidR="00F81D87" w:rsidRDefault="00F81D87">
      <w:pPr>
        <w:spacing w:line="301" w:lineRule="auto"/>
        <w:ind w:right="10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Mali gradovi: Gradovi s neposrednom populacijom između 100 000 i 350 000 ljudi. </w:t>
      </w:r>
    </w:p>
    <w:p w:rsidR="00F81D87" w:rsidRPr="00C00494" w:rsidRDefault="00F81D87">
      <w:pPr>
        <w:spacing w:line="301" w:lineRule="auto"/>
        <w:ind w:right="10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Mikro gradovi: Gradovi s neposrednom populacijom od manje od 100 000 ljudi.</w:t>
      </w:r>
    </w:p>
    <w:p w:rsidR="00F81D87" w:rsidRPr="00C00494" w:rsidRDefault="00F81D87">
      <w:pPr>
        <w:spacing w:line="149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  <w:u w:val="single"/>
        </w:rPr>
      </w:pPr>
      <w:r w:rsidRPr="00C00494">
        <w:rPr>
          <w:rFonts w:ascii="Times New Roman" w:hAnsi="Times New Roman"/>
          <w:sz w:val="22"/>
          <w:szCs w:val="22"/>
          <w:u w:val="single"/>
        </w:rPr>
        <w:t>Gradski parametri izravnih stranih ulaganja</w:t>
      </w:r>
    </w:p>
    <w:p w:rsidR="00F81D87" w:rsidRPr="00C00494" w:rsidRDefault="00F81D87">
      <w:pPr>
        <w:spacing w:line="236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6" w:lineRule="auto"/>
        <w:ind w:right="14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Ako glavni grad nije klasificiran kao veliki obzirom na broj stanovnika, uzimali smo u obzir iznose njegovog priljeva izravnih stranih ulaganja. Svaki glavni grad koji je primio više od 30% izravnih stranih ulaganja svoje zemlje, unaprijeđen je u kategoriju 'velikog'. Osim toga, pogledali smo statistiku izravnih stranih ulaganja za gradove koji nisu glavni, a koji su obzirom na broj stanovnika klasificirani kao 'veliki'. Svaki grad koji je dobio manje od 10% izravnih stranih ulaganja vlastite zemlji klasificiran je kao 'veći'.</w:t>
      </w:r>
    </w:p>
    <w:p w:rsidR="00F81D87" w:rsidRPr="00C00494" w:rsidRDefault="00F81D87">
      <w:pPr>
        <w:spacing w:line="213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  <w:u w:val="single"/>
        </w:rPr>
      </w:pPr>
      <w:r w:rsidRPr="00C00494">
        <w:rPr>
          <w:rFonts w:ascii="Times New Roman" w:hAnsi="Times New Roman"/>
          <w:sz w:val="22"/>
          <w:szCs w:val="22"/>
          <w:u w:val="single"/>
        </w:rPr>
        <w:t>Kategorije prema veličini regije</w:t>
      </w:r>
    </w:p>
    <w:p w:rsidR="00F81D87" w:rsidRPr="00C00494" w:rsidRDefault="00F81D87">
      <w:pPr>
        <w:spacing w:line="236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Velike regije: Više od 4 milijuna stanovnika.</w:t>
      </w:r>
    </w:p>
    <w:p w:rsidR="00F81D87" w:rsidRPr="00C00494" w:rsidRDefault="00F81D87">
      <w:pPr>
        <w:spacing w:line="8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39" w:lineRule="auto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Srednje velike regije: Između 1,5 i 4 milijuna stanovnika.</w:t>
      </w:r>
    </w:p>
    <w:p w:rsidR="00F81D87" w:rsidRPr="00C00494" w:rsidRDefault="00F81D87">
      <w:pPr>
        <w:spacing w:line="1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>Male regije: Manje od 1,5 milijuna stanovnika.</w:t>
      </w:r>
    </w:p>
    <w:p w:rsidR="00F81D87" w:rsidRPr="00C00494" w:rsidRDefault="00F81D87">
      <w:pPr>
        <w:spacing w:line="231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>Navođenje korištenog izvora</w:t>
      </w:r>
    </w:p>
    <w:p w:rsidR="00F81D87" w:rsidRPr="00C00494" w:rsidRDefault="00F81D87">
      <w:pPr>
        <w:spacing w:line="243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69" w:lineRule="auto"/>
        <w:ind w:right="4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Molimo vas da kao izvor navedete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Magazin, iz lista Financial </w:t>
      </w:r>
      <w:proofErr w:type="spellStart"/>
      <w:r w:rsidRPr="00C00494">
        <w:rPr>
          <w:rFonts w:ascii="Times New Roman" w:hAnsi="Times New Roman"/>
          <w:sz w:val="22"/>
          <w:szCs w:val="22"/>
        </w:rPr>
        <w:t>Times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. Izvor </w:t>
      </w:r>
      <w:r w:rsidRPr="00C00494">
        <w:rPr>
          <w:rFonts w:ascii="Times New Roman" w:hAnsi="Times New Roman"/>
          <w:b/>
          <w:i/>
          <w:sz w:val="22"/>
          <w:szCs w:val="22"/>
        </w:rPr>
        <w:t>nije</w:t>
      </w:r>
      <w:r w:rsidRPr="00C00494">
        <w:rPr>
          <w:rFonts w:ascii="Times New Roman" w:hAnsi="Times New Roman"/>
          <w:sz w:val="22"/>
          <w:szCs w:val="22"/>
        </w:rPr>
        <w:t xml:space="preserve"> list Financial </w:t>
      </w:r>
      <w:proofErr w:type="spellStart"/>
      <w:r w:rsidRPr="00C00494">
        <w:rPr>
          <w:rFonts w:ascii="Times New Roman" w:hAnsi="Times New Roman"/>
          <w:sz w:val="22"/>
          <w:szCs w:val="22"/>
        </w:rPr>
        <w:t>Times</w:t>
      </w:r>
      <w:proofErr w:type="spellEnd"/>
      <w:r w:rsidRPr="00C00494">
        <w:rPr>
          <w:rFonts w:ascii="Times New Roman" w:hAnsi="Times New Roman"/>
          <w:sz w:val="22"/>
          <w:szCs w:val="22"/>
        </w:rPr>
        <w:t>.</w:t>
      </w:r>
    </w:p>
    <w:p w:rsidR="00F81D87" w:rsidRPr="00C00494" w:rsidRDefault="00F81D87">
      <w:pPr>
        <w:spacing w:line="18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 xml:space="preserve">O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b/>
          <w:sz w:val="22"/>
          <w:szCs w:val="22"/>
        </w:rPr>
        <w:t xml:space="preserve"> Magazinu</w:t>
      </w:r>
    </w:p>
    <w:p w:rsidR="00F81D87" w:rsidRPr="00C00494" w:rsidRDefault="00F81D87">
      <w:pPr>
        <w:spacing w:line="243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54" w:lineRule="auto"/>
        <w:ind w:right="560"/>
        <w:rPr>
          <w:rFonts w:ascii="Times New Roman" w:hAnsi="Times New Roman"/>
          <w:sz w:val="22"/>
          <w:szCs w:val="22"/>
        </w:rPr>
      </w:pP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b/>
          <w:sz w:val="22"/>
          <w:szCs w:val="22"/>
        </w:rPr>
        <w:t xml:space="preserve"> </w:t>
      </w:r>
      <w:r w:rsidRPr="00C00494">
        <w:rPr>
          <w:rFonts w:ascii="Times New Roman" w:hAnsi="Times New Roman"/>
          <w:sz w:val="22"/>
          <w:szCs w:val="22"/>
        </w:rPr>
        <w:t>Magazin (</w:t>
      </w:r>
      <w:r w:rsidRPr="00C00494">
        <w:rPr>
          <w:rFonts w:ascii="Times New Roman" w:hAnsi="Times New Roman"/>
          <w:color w:val="0000FF"/>
          <w:sz w:val="22"/>
          <w:szCs w:val="22"/>
        </w:rPr>
        <w:t>www.fDiIntelligence.com</w:t>
      </w:r>
      <w:r w:rsidRPr="00C00494">
        <w:rPr>
          <w:rFonts w:ascii="Times New Roman" w:hAnsi="Times New Roman"/>
          <w:sz w:val="22"/>
          <w:szCs w:val="22"/>
        </w:rPr>
        <w:t>) je specijalizirana publikacija koja izvještava o</w:t>
      </w:r>
      <w:r w:rsidRPr="00C00494">
        <w:rPr>
          <w:rFonts w:ascii="Times New Roman" w:hAnsi="Times New Roman"/>
          <w:b/>
          <w:sz w:val="22"/>
          <w:szCs w:val="22"/>
        </w:rPr>
        <w:t xml:space="preserve"> </w:t>
      </w:r>
      <w:r w:rsidRPr="00C00494">
        <w:rPr>
          <w:rFonts w:ascii="Times New Roman" w:hAnsi="Times New Roman"/>
          <w:sz w:val="22"/>
          <w:szCs w:val="22"/>
        </w:rPr>
        <w:t xml:space="preserve">prekograničnim ulaganjima, a čitaju je viši rukovoditelji u multinacionalnim korporacijama i drugi koji su uključeni u korporativno odlučivanje o odabiru </w:t>
      </w:r>
      <w:proofErr w:type="spellStart"/>
      <w:r w:rsidRPr="00C00494">
        <w:rPr>
          <w:rFonts w:ascii="Times New Roman" w:hAnsi="Times New Roman"/>
          <w:sz w:val="22"/>
          <w:szCs w:val="22"/>
        </w:rPr>
        <w:t>greenfield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lokacija.</w:t>
      </w:r>
    </w:p>
    <w:p w:rsidR="00F81D87" w:rsidRPr="00C00494" w:rsidRDefault="00F81D87">
      <w:pPr>
        <w:spacing w:line="201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69" w:lineRule="auto"/>
        <w:ind w:right="560"/>
        <w:rPr>
          <w:rFonts w:ascii="Times New Roman" w:hAnsi="Times New Roman"/>
          <w:sz w:val="22"/>
          <w:szCs w:val="22"/>
        </w:rPr>
      </w:pP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Magazin je dvomjesečnik i dio </w:t>
      </w:r>
      <w:r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Obavještajnog odjela lista Financial </w:t>
      </w:r>
      <w:proofErr w:type="spellStart"/>
      <w:r w:rsidRPr="00C00494">
        <w:rPr>
          <w:rFonts w:ascii="Times New Roman" w:hAnsi="Times New Roman"/>
          <w:sz w:val="22"/>
          <w:szCs w:val="22"/>
        </w:rPr>
        <w:t>Times</w:t>
      </w:r>
      <w:proofErr w:type="spellEnd"/>
      <w:r w:rsidRPr="00C00494">
        <w:rPr>
          <w:rFonts w:ascii="Times New Roman" w:hAnsi="Times New Roman"/>
          <w:sz w:val="22"/>
          <w:szCs w:val="22"/>
        </w:rPr>
        <w:t>.</w:t>
      </w:r>
    </w:p>
    <w:p w:rsidR="00F81D87" w:rsidRPr="00C00494" w:rsidRDefault="00F81D87">
      <w:pPr>
        <w:spacing w:line="184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0" w:lineRule="atLeast"/>
        <w:rPr>
          <w:rFonts w:ascii="Times New Roman" w:hAnsi="Times New Roman"/>
          <w:b/>
          <w:sz w:val="22"/>
          <w:szCs w:val="22"/>
        </w:rPr>
      </w:pPr>
      <w:r w:rsidRPr="00C00494">
        <w:rPr>
          <w:rFonts w:ascii="Times New Roman" w:hAnsi="Times New Roman"/>
          <w:b/>
          <w:sz w:val="22"/>
          <w:szCs w:val="22"/>
        </w:rPr>
        <w:t xml:space="preserve">O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b/>
          <w:sz w:val="22"/>
          <w:szCs w:val="22"/>
        </w:rPr>
        <w:t xml:space="preserve"> Obavještajnom odjelu</w:t>
      </w:r>
    </w:p>
    <w:p w:rsidR="00F81D87" w:rsidRPr="00C00494" w:rsidRDefault="00F81D87">
      <w:pPr>
        <w:spacing w:line="243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63" w:lineRule="auto"/>
        <w:rPr>
          <w:rFonts w:ascii="Times New Roman" w:hAnsi="Times New Roman"/>
          <w:sz w:val="22"/>
          <w:szCs w:val="22"/>
        </w:rPr>
      </w:pP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b/>
          <w:sz w:val="22"/>
          <w:szCs w:val="22"/>
        </w:rPr>
        <w:t xml:space="preserve"> </w:t>
      </w:r>
      <w:r w:rsidRPr="00C00494">
        <w:rPr>
          <w:rFonts w:ascii="Times New Roman" w:hAnsi="Times New Roman"/>
          <w:sz w:val="22"/>
          <w:szCs w:val="22"/>
        </w:rPr>
        <w:t xml:space="preserve">Obavještajni odjel je najveći globalni centar izvrsnosti za izravna strana ulaganja. Specijaliziran </w:t>
      </w:r>
      <w:r>
        <w:rPr>
          <w:rFonts w:ascii="Times New Roman" w:hAnsi="Times New Roman"/>
          <w:sz w:val="22"/>
          <w:szCs w:val="22"/>
        </w:rPr>
        <w:t xml:space="preserve">je </w:t>
      </w:r>
      <w:r w:rsidRPr="00C00494">
        <w:rPr>
          <w:rFonts w:ascii="Times New Roman" w:hAnsi="Times New Roman"/>
          <w:sz w:val="22"/>
          <w:szCs w:val="22"/>
        </w:rPr>
        <w:t>za sva područja</w:t>
      </w:r>
      <w:r w:rsidRPr="00C00494">
        <w:rPr>
          <w:rFonts w:ascii="Times New Roman" w:hAnsi="Times New Roman"/>
          <w:b/>
          <w:sz w:val="22"/>
          <w:szCs w:val="22"/>
        </w:rPr>
        <w:t xml:space="preserve"> </w:t>
      </w:r>
      <w:r w:rsidRPr="00C00494">
        <w:rPr>
          <w:rFonts w:ascii="Times New Roman" w:hAnsi="Times New Roman"/>
          <w:sz w:val="22"/>
          <w:szCs w:val="22"/>
        </w:rPr>
        <w:t xml:space="preserve">koja se odnose na izravna strana ulaganja i promociju ulaganja,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C00494">
        <w:rPr>
          <w:rFonts w:ascii="Times New Roman" w:hAnsi="Times New Roman"/>
          <w:sz w:val="22"/>
          <w:szCs w:val="22"/>
        </w:rPr>
        <w:t xml:space="preserve">cijeli paket usluga obuhvaća: reklamiranje lokacije radi stvaranja svijesti o </w:t>
      </w:r>
      <w:proofErr w:type="spellStart"/>
      <w:r w:rsidRPr="00C00494">
        <w:rPr>
          <w:rFonts w:ascii="Times New Roman" w:hAnsi="Times New Roman"/>
          <w:sz w:val="22"/>
          <w:szCs w:val="22"/>
        </w:rPr>
        <w:t>brandu</w:t>
      </w:r>
      <w:proofErr w:type="spellEnd"/>
      <w:r w:rsidRPr="00C00494">
        <w:rPr>
          <w:rFonts w:ascii="Times New Roman" w:hAnsi="Times New Roman"/>
          <w:sz w:val="22"/>
          <w:szCs w:val="22"/>
        </w:rPr>
        <w:t>; vodeće obavještajne alate za razvijanje strategija izravnih stranih ulaganja i identificiranje potencijalnih ulagača; i prilagođene događaje za izravna strana ulaganja i okrugle stolove s investitorima za upoznavanje ciljanih poduzeća i stvaranje poslovnih inicijativa.</w:t>
      </w:r>
    </w:p>
    <w:p w:rsidR="00F81D87" w:rsidRPr="00C00494" w:rsidRDefault="00F81D87">
      <w:pPr>
        <w:spacing w:line="193" w:lineRule="exact"/>
        <w:rPr>
          <w:rFonts w:ascii="Times New Roman" w:hAnsi="Times New Roman"/>
          <w:sz w:val="22"/>
          <w:szCs w:val="22"/>
        </w:rPr>
      </w:pPr>
    </w:p>
    <w:p w:rsidR="00F81D87" w:rsidRPr="00C00494" w:rsidRDefault="00F81D87">
      <w:pPr>
        <w:spacing w:line="249" w:lineRule="auto"/>
        <w:ind w:right="720"/>
        <w:rPr>
          <w:rFonts w:ascii="Times New Roman" w:hAnsi="Times New Roman"/>
          <w:sz w:val="22"/>
          <w:szCs w:val="22"/>
        </w:rPr>
      </w:pPr>
      <w:r w:rsidRPr="00C00494">
        <w:rPr>
          <w:rFonts w:ascii="Times New Roman" w:hAnsi="Times New Roman"/>
          <w:sz w:val="22"/>
          <w:szCs w:val="22"/>
        </w:rPr>
        <w:t xml:space="preserve">Proizvodi u portfelju uključuju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Markets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, bazu podataka za praćenje prekograničnih </w:t>
      </w:r>
      <w:proofErr w:type="spellStart"/>
      <w:r w:rsidRPr="00C00494">
        <w:rPr>
          <w:rFonts w:ascii="Times New Roman" w:hAnsi="Times New Roman"/>
          <w:sz w:val="22"/>
          <w:szCs w:val="22"/>
        </w:rPr>
        <w:t>greenfield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investicija </w:t>
      </w:r>
      <w:r>
        <w:rPr>
          <w:rFonts w:ascii="Times New Roman" w:hAnsi="Times New Roman"/>
          <w:sz w:val="22"/>
          <w:szCs w:val="22"/>
        </w:rPr>
        <w:t>u</w:t>
      </w:r>
      <w:r w:rsidRPr="00C00494">
        <w:rPr>
          <w:rFonts w:ascii="Times New Roman" w:hAnsi="Times New Roman"/>
          <w:sz w:val="22"/>
          <w:szCs w:val="22"/>
        </w:rPr>
        <w:t xml:space="preserve"> stvarno</w:t>
      </w:r>
      <w:r>
        <w:rPr>
          <w:rFonts w:ascii="Times New Roman" w:hAnsi="Times New Roman"/>
          <w:sz w:val="22"/>
          <w:szCs w:val="22"/>
        </w:rPr>
        <w:t>m</w:t>
      </w:r>
      <w:r w:rsidRPr="00C00494">
        <w:rPr>
          <w:rFonts w:ascii="Times New Roman" w:hAnsi="Times New Roman"/>
          <w:sz w:val="22"/>
          <w:szCs w:val="22"/>
        </w:rPr>
        <w:t xml:space="preserve"> vremen</w:t>
      </w:r>
      <w:r>
        <w:rPr>
          <w:rFonts w:ascii="Times New Roman" w:hAnsi="Times New Roman"/>
          <w:sz w:val="22"/>
          <w:szCs w:val="22"/>
        </w:rPr>
        <w:t>u</w:t>
      </w:r>
      <w:r w:rsidRPr="00C00494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0494">
        <w:rPr>
          <w:rFonts w:ascii="Times New Roman" w:hAnsi="Times New Roman"/>
          <w:sz w:val="22"/>
          <w:szCs w:val="22"/>
        </w:rPr>
        <w:t>Benchmark</w:t>
      </w:r>
      <w:proofErr w:type="spellEnd"/>
      <w:r w:rsidRPr="00C00494">
        <w:rPr>
          <w:rFonts w:ascii="Times New Roman" w:hAnsi="Times New Roman"/>
          <w:sz w:val="22"/>
          <w:szCs w:val="22"/>
        </w:rPr>
        <w:t xml:space="preserve">, bazu podataka koja uspoređuje atraktivnost globalnih lokacija stranim investitorima; i </w:t>
      </w:r>
      <w:proofErr w:type="spellStart"/>
      <w:r w:rsidRPr="00C00494">
        <w:rPr>
          <w:rFonts w:ascii="Times New Roman" w:hAnsi="Times New Roman"/>
          <w:b/>
          <w:sz w:val="22"/>
          <w:szCs w:val="22"/>
        </w:rPr>
        <w:t>fDi</w:t>
      </w:r>
      <w:proofErr w:type="spellEnd"/>
      <w:r>
        <w:rPr>
          <w:rFonts w:ascii="Times New Roman" w:hAnsi="Times New Roman"/>
          <w:sz w:val="22"/>
          <w:szCs w:val="22"/>
        </w:rPr>
        <w:t xml:space="preserve"> Magazin</w:t>
      </w:r>
      <w:r w:rsidRPr="00C00494">
        <w:rPr>
          <w:rFonts w:ascii="Times New Roman" w:hAnsi="Times New Roman"/>
          <w:sz w:val="22"/>
          <w:szCs w:val="22"/>
        </w:rPr>
        <w:t>.</w:t>
      </w:r>
    </w:p>
    <w:sectPr w:rsidR="00F81D87" w:rsidRPr="00C00494" w:rsidSect="00F345F8">
      <w:pgSz w:w="11900" w:h="16820"/>
      <w:pgMar w:top="1432" w:right="1500" w:bottom="1440" w:left="1440" w:header="0" w:footer="0" w:gutter="0"/>
      <w:cols w:space="0" w:equalWidth="0">
        <w:col w:w="8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Batang">
    <w:altName w:val="Microsoft JhengHei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BF4C5456">
      <w:start w:val="1"/>
      <w:numFmt w:val="bullet"/>
      <w:lvlText w:val=""/>
      <w:lvlJc w:val="left"/>
    </w:lvl>
    <w:lvl w:ilvl="1" w:tplc="DB6EB080">
      <w:start w:val="1"/>
      <w:numFmt w:val="bullet"/>
      <w:lvlText w:val=""/>
      <w:lvlJc w:val="left"/>
    </w:lvl>
    <w:lvl w:ilvl="2" w:tplc="B4329432">
      <w:start w:val="1"/>
      <w:numFmt w:val="bullet"/>
      <w:lvlText w:val=""/>
      <w:lvlJc w:val="left"/>
    </w:lvl>
    <w:lvl w:ilvl="3" w:tplc="B558A5A8">
      <w:start w:val="1"/>
      <w:numFmt w:val="bullet"/>
      <w:lvlText w:val=""/>
      <w:lvlJc w:val="left"/>
    </w:lvl>
    <w:lvl w:ilvl="4" w:tplc="9BC449E6">
      <w:start w:val="1"/>
      <w:numFmt w:val="bullet"/>
      <w:lvlText w:val=""/>
      <w:lvlJc w:val="left"/>
    </w:lvl>
    <w:lvl w:ilvl="5" w:tplc="535E929E">
      <w:start w:val="1"/>
      <w:numFmt w:val="bullet"/>
      <w:lvlText w:val=""/>
      <w:lvlJc w:val="left"/>
    </w:lvl>
    <w:lvl w:ilvl="6" w:tplc="20803BCA">
      <w:start w:val="1"/>
      <w:numFmt w:val="bullet"/>
      <w:lvlText w:val=""/>
      <w:lvlJc w:val="left"/>
    </w:lvl>
    <w:lvl w:ilvl="7" w:tplc="0356568A">
      <w:start w:val="1"/>
      <w:numFmt w:val="bullet"/>
      <w:lvlText w:val=""/>
      <w:lvlJc w:val="left"/>
    </w:lvl>
    <w:lvl w:ilvl="8" w:tplc="3E0A996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22D4808A">
      <w:start w:val="1"/>
      <w:numFmt w:val="bullet"/>
      <w:lvlText w:val=""/>
      <w:lvlJc w:val="left"/>
    </w:lvl>
    <w:lvl w:ilvl="1" w:tplc="D1B84168">
      <w:start w:val="1"/>
      <w:numFmt w:val="bullet"/>
      <w:lvlText w:val=""/>
      <w:lvlJc w:val="left"/>
    </w:lvl>
    <w:lvl w:ilvl="2" w:tplc="A296DCDA">
      <w:start w:val="1"/>
      <w:numFmt w:val="bullet"/>
      <w:lvlText w:val=""/>
      <w:lvlJc w:val="left"/>
    </w:lvl>
    <w:lvl w:ilvl="3" w:tplc="4EA21BBA">
      <w:start w:val="1"/>
      <w:numFmt w:val="bullet"/>
      <w:lvlText w:val=""/>
      <w:lvlJc w:val="left"/>
    </w:lvl>
    <w:lvl w:ilvl="4" w:tplc="3142F9C2">
      <w:start w:val="1"/>
      <w:numFmt w:val="bullet"/>
      <w:lvlText w:val=""/>
      <w:lvlJc w:val="left"/>
    </w:lvl>
    <w:lvl w:ilvl="5" w:tplc="4E3850AA">
      <w:start w:val="1"/>
      <w:numFmt w:val="bullet"/>
      <w:lvlText w:val=""/>
      <w:lvlJc w:val="left"/>
    </w:lvl>
    <w:lvl w:ilvl="6" w:tplc="F91667A4">
      <w:start w:val="1"/>
      <w:numFmt w:val="bullet"/>
      <w:lvlText w:val=""/>
      <w:lvlJc w:val="left"/>
    </w:lvl>
    <w:lvl w:ilvl="7" w:tplc="97AAD392">
      <w:start w:val="1"/>
      <w:numFmt w:val="bullet"/>
      <w:lvlText w:val=""/>
      <w:lvlJc w:val="left"/>
    </w:lvl>
    <w:lvl w:ilvl="8" w:tplc="26F86AE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072"/>
    <w:rsid w:val="00107072"/>
    <w:rsid w:val="0017148A"/>
    <w:rsid w:val="002B2B1D"/>
    <w:rsid w:val="00372019"/>
    <w:rsid w:val="004A390D"/>
    <w:rsid w:val="00702D26"/>
    <w:rsid w:val="00740DD3"/>
    <w:rsid w:val="00772238"/>
    <w:rsid w:val="009F6166"/>
    <w:rsid w:val="00A94EA3"/>
    <w:rsid w:val="00B213D9"/>
    <w:rsid w:val="00C00494"/>
    <w:rsid w:val="00D609A3"/>
    <w:rsid w:val="00E815BD"/>
    <w:rsid w:val="00F345F8"/>
    <w:rsid w:val="00F8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F8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dominira kao</dc:title>
  <dc:subject/>
  <dc:creator>cloudconvert</dc:creator>
  <cp:keywords/>
  <dc:description/>
  <cp:lastModifiedBy>Daliborka Perešin Kekelić</cp:lastModifiedBy>
  <cp:revision>3</cp:revision>
  <dcterms:created xsi:type="dcterms:W3CDTF">2016-02-18T10:19:00Z</dcterms:created>
  <dcterms:modified xsi:type="dcterms:W3CDTF">2016-02-23T12:46:00Z</dcterms:modified>
</cp:coreProperties>
</file>