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85"/>
      </w:tblGrid>
      <w:tr w:rsidR="003E6360" w:rsidRPr="002D6EC9" w:rsidTr="00E62ED3">
        <w:tc>
          <w:tcPr>
            <w:tcW w:w="10320" w:type="dxa"/>
            <w:gridSpan w:val="2"/>
            <w:tcBorders>
              <w:top w:val="thickThinSmallGap" w:sz="24" w:space="0" w:color="auto"/>
              <w:left w:val="thickThinSmallGap" w:sz="24" w:space="0" w:color="auto"/>
              <w:right w:val="thickThinSmallGap" w:sz="24" w:space="0" w:color="auto"/>
            </w:tcBorders>
            <w:shd w:val="clear" w:color="auto" w:fill="auto"/>
            <w:vAlign w:val="center"/>
          </w:tcPr>
          <w:p w:rsidR="003E6360" w:rsidRPr="002D6EC9" w:rsidRDefault="003E6360" w:rsidP="00E62ED3">
            <w:pPr>
              <w:jc w:val="center"/>
            </w:pPr>
          </w:p>
          <w:p w:rsidR="003E6360" w:rsidRPr="002E7BAF" w:rsidRDefault="003E6360" w:rsidP="00E62ED3">
            <w:pPr>
              <w:jc w:val="center"/>
              <w:rPr>
                <w:b/>
              </w:rPr>
            </w:pPr>
            <w:r w:rsidRPr="002E7BAF">
              <w:rPr>
                <w:b/>
              </w:rPr>
              <w:t>OBRAZAC</w:t>
            </w:r>
          </w:p>
          <w:p w:rsidR="003E6360" w:rsidRDefault="003E6360" w:rsidP="00E62ED3">
            <w:pPr>
              <w:jc w:val="center"/>
              <w:rPr>
                <w:b/>
              </w:rPr>
            </w:pPr>
            <w:r w:rsidRPr="00191F94">
              <w:rPr>
                <w:b/>
              </w:rPr>
              <w:t xml:space="preserve">sudjelovanja javnosti </w:t>
            </w:r>
            <w:r>
              <w:rPr>
                <w:b/>
              </w:rPr>
              <w:t xml:space="preserve">u internetskom savjetovanju o nacrtu prijedloga odluke </w:t>
            </w:r>
          </w:p>
          <w:p w:rsidR="003E6360" w:rsidRPr="00191F94" w:rsidRDefault="003E6360" w:rsidP="00E62ED3">
            <w:pPr>
              <w:jc w:val="center"/>
              <w:rPr>
                <w:b/>
              </w:rPr>
            </w:pPr>
            <w:r>
              <w:rPr>
                <w:b/>
              </w:rPr>
              <w:t xml:space="preserve">ili drugog općeg akta </w:t>
            </w:r>
          </w:p>
          <w:p w:rsidR="003E6360" w:rsidRPr="002D6EC9" w:rsidRDefault="003E6360" w:rsidP="00E62ED3">
            <w:pPr>
              <w:jc w:val="center"/>
            </w:pPr>
          </w:p>
        </w:tc>
      </w:tr>
      <w:tr w:rsidR="003E6360" w:rsidRPr="002D6EC9" w:rsidTr="00E62ED3">
        <w:trPr>
          <w:trHeight w:val="481"/>
        </w:trPr>
        <w:tc>
          <w:tcPr>
            <w:tcW w:w="5135" w:type="dxa"/>
            <w:tcBorders>
              <w:left w:val="thickThinSmallGap" w:sz="24" w:space="0" w:color="auto"/>
            </w:tcBorders>
            <w:shd w:val="clear" w:color="auto" w:fill="auto"/>
            <w:vAlign w:val="center"/>
          </w:tcPr>
          <w:p w:rsidR="003E6360" w:rsidRPr="00407EE1" w:rsidRDefault="003E6360" w:rsidP="00E62ED3">
            <w:pPr>
              <w:rPr>
                <w:b/>
              </w:rPr>
            </w:pPr>
            <w:r w:rsidRPr="00407EE1">
              <w:rPr>
                <w:b/>
              </w:rPr>
              <w:t xml:space="preserve">Naziv </w:t>
            </w:r>
            <w:r>
              <w:rPr>
                <w:b/>
              </w:rPr>
              <w:t xml:space="preserve">nacrta odluke ili drugog općeg </w:t>
            </w:r>
            <w:r w:rsidRPr="00407EE1">
              <w:rPr>
                <w:b/>
              </w:rPr>
              <w:t>akta o kojem se provodi savjetovanje</w:t>
            </w:r>
          </w:p>
        </w:tc>
        <w:tc>
          <w:tcPr>
            <w:tcW w:w="5185" w:type="dxa"/>
            <w:tcBorders>
              <w:right w:val="thickThinSmallGap" w:sz="24" w:space="0" w:color="auto"/>
            </w:tcBorders>
            <w:shd w:val="clear" w:color="auto" w:fill="auto"/>
            <w:vAlign w:val="center"/>
          </w:tcPr>
          <w:p w:rsidR="003E6360" w:rsidRPr="00866BB1" w:rsidRDefault="0004175E" w:rsidP="002D12B3">
            <w:r w:rsidRPr="0004175E">
              <w:t>Nacrt prijedloga Odluke</w:t>
            </w:r>
            <w:r>
              <w:t xml:space="preserve"> </w:t>
            </w:r>
            <w:r w:rsidR="00905111">
              <w:t>o izmjenama i dopuni</w:t>
            </w:r>
            <w:r w:rsidR="002D12B3">
              <w:t xml:space="preserve"> Odluke o načinu pružanja javne usluge sakupljanja komunalnog otpada na području Grada Zagreba</w:t>
            </w:r>
          </w:p>
        </w:tc>
      </w:tr>
      <w:tr w:rsidR="003E6360" w:rsidRPr="002D6EC9" w:rsidTr="00E62ED3">
        <w:trPr>
          <w:trHeight w:val="410"/>
        </w:trPr>
        <w:tc>
          <w:tcPr>
            <w:tcW w:w="5135" w:type="dxa"/>
            <w:tcBorders>
              <w:left w:val="thickThinSmallGap" w:sz="24" w:space="0" w:color="auto"/>
            </w:tcBorders>
            <w:shd w:val="clear" w:color="auto" w:fill="auto"/>
            <w:vAlign w:val="center"/>
          </w:tcPr>
          <w:p w:rsidR="003E6360" w:rsidRPr="00407EE1" w:rsidRDefault="003E6360" w:rsidP="00E62ED3">
            <w:pPr>
              <w:rPr>
                <w:b/>
              </w:rPr>
            </w:pPr>
            <w:r w:rsidRPr="00407EE1">
              <w:rPr>
                <w:b/>
              </w:rPr>
              <w:t>Naziv gradskog upravnog tijela nadležnog za izradu nacrta</w:t>
            </w:r>
            <w:r>
              <w:rPr>
                <w:b/>
              </w:rPr>
              <w:t xml:space="preserve"> </w:t>
            </w:r>
          </w:p>
        </w:tc>
        <w:tc>
          <w:tcPr>
            <w:tcW w:w="5185" w:type="dxa"/>
            <w:tcBorders>
              <w:right w:val="thickThinSmallGap" w:sz="24" w:space="0" w:color="auto"/>
            </w:tcBorders>
            <w:shd w:val="clear" w:color="auto" w:fill="auto"/>
            <w:vAlign w:val="center"/>
          </w:tcPr>
          <w:p w:rsidR="003E6360" w:rsidRPr="00D30CA2" w:rsidRDefault="003E6360" w:rsidP="00937395">
            <w:pPr>
              <w:jc w:val="center"/>
              <w:rPr>
                <w:b/>
              </w:rPr>
            </w:pPr>
            <w:r>
              <w:rPr>
                <w:b/>
              </w:rPr>
              <w:t xml:space="preserve">Gradski ured za </w:t>
            </w:r>
            <w:r w:rsidR="008D56D2">
              <w:rPr>
                <w:b/>
              </w:rPr>
              <w:t xml:space="preserve">gospodarstvo, </w:t>
            </w:r>
            <w:r w:rsidR="00937395">
              <w:rPr>
                <w:b/>
              </w:rPr>
              <w:t>ekološku održivost</w:t>
            </w:r>
            <w:r w:rsidR="0004175E">
              <w:rPr>
                <w:b/>
              </w:rPr>
              <w:t xml:space="preserve"> </w:t>
            </w:r>
            <w:r w:rsidR="008D56D2">
              <w:rPr>
                <w:b/>
              </w:rPr>
              <w:t xml:space="preserve">i </w:t>
            </w:r>
            <w:r w:rsidR="00937395">
              <w:rPr>
                <w:b/>
              </w:rPr>
              <w:t>strategijsko planiranje</w:t>
            </w:r>
            <w:r w:rsidR="008D56D2">
              <w:rPr>
                <w:b/>
              </w:rPr>
              <w:t xml:space="preserve"> </w:t>
            </w:r>
          </w:p>
        </w:tc>
      </w:tr>
      <w:tr w:rsidR="003E6360" w:rsidRPr="002D6EC9" w:rsidTr="001307BA">
        <w:trPr>
          <w:trHeight w:val="5660"/>
        </w:trPr>
        <w:tc>
          <w:tcPr>
            <w:tcW w:w="5135" w:type="dxa"/>
            <w:tcBorders>
              <w:left w:val="thickThinSmallGap" w:sz="24" w:space="0" w:color="auto"/>
            </w:tcBorders>
            <w:shd w:val="clear" w:color="auto" w:fill="auto"/>
            <w:vAlign w:val="center"/>
          </w:tcPr>
          <w:p w:rsidR="003E6360" w:rsidRPr="00D22C35" w:rsidRDefault="003E6360" w:rsidP="00E62ED3">
            <w:pPr>
              <w:rPr>
                <w:b/>
              </w:rPr>
            </w:pPr>
            <w:r w:rsidRPr="007729B4">
              <w:rPr>
                <w:b/>
              </w:rPr>
              <w:t>Obrazloženje razloga i ciljeva koji se žele postići donošenjem akta</w:t>
            </w:r>
            <w:r w:rsidRPr="00D22C35">
              <w:rPr>
                <w:b/>
              </w:rPr>
              <w:t xml:space="preserve"> </w:t>
            </w:r>
          </w:p>
        </w:tc>
        <w:tc>
          <w:tcPr>
            <w:tcW w:w="5185" w:type="dxa"/>
            <w:tcBorders>
              <w:right w:val="thickThinSmallGap" w:sz="24" w:space="0" w:color="auto"/>
            </w:tcBorders>
            <w:shd w:val="clear" w:color="auto" w:fill="auto"/>
            <w:vAlign w:val="center"/>
          </w:tcPr>
          <w:p w:rsidR="002D12B3" w:rsidRPr="002D12B3" w:rsidRDefault="002D12B3" w:rsidP="002D12B3">
            <w:pPr>
              <w:jc w:val="both"/>
              <w:rPr>
                <w:rFonts w:eastAsia="Calibri"/>
                <w:lang w:eastAsia="en-US"/>
              </w:rPr>
            </w:pPr>
            <w:r w:rsidRPr="002D12B3">
              <w:rPr>
                <w:rFonts w:eastAsia="Calibri"/>
                <w:lang w:eastAsia="en-US"/>
              </w:rPr>
              <w:t>Odluku o načinu pružanja javne usluge sakupljanja komunalnog otpada na području Grada Zagreba  donosi Gradska skupština Grada Zagreba na temelju  članka 66. stavka 1.</w:t>
            </w:r>
            <w:r w:rsidR="00905111">
              <w:rPr>
                <w:rFonts w:eastAsia="Calibri"/>
                <w:lang w:eastAsia="en-US"/>
              </w:rPr>
              <w:t xml:space="preserve"> i članka</w:t>
            </w:r>
            <w:r w:rsidR="00905111" w:rsidRPr="00905111">
              <w:rPr>
                <w:rFonts w:eastAsia="Calibri"/>
                <w:lang w:eastAsia="en-US"/>
              </w:rPr>
              <w:t xml:space="preserve">  68. stavka 2</w:t>
            </w:r>
            <w:r w:rsidR="00905111">
              <w:rPr>
                <w:rFonts w:eastAsia="Calibri"/>
                <w:lang w:eastAsia="en-US"/>
              </w:rPr>
              <w:t xml:space="preserve"> </w:t>
            </w:r>
            <w:r w:rsidRPr="002D12B3">
              <w:rPr>
                <w:rFonts w:eastAsia="Calibri"/>
                <w:lang w:eastAsia="en-US"/>
              </w:rPr>
              <w:t xml:space="preserve"> Zakona o gospodarenju otpadom (Narodne novine 84/21; dalje u tekstu: Zakon ) i članka 41. točke 2. Statuta Grada Zagreba (Službeni glasnik Grada Zagreba 23/16, 2/18, 23/18, 3/20, 3/21 i 11/21 - pročišćeni tekst; 16/22, dalje u tekstu: Statut), kojim je odredbama uređeno da Gradska skupština Grada Zagreba donosi odluku o načinu pružanja javne usluge te se ovlašćuje Gradska skupština Grada Zagreba donositi odluke i druge opće akte kojima uređuje pitanja iz samoupravnog djelokruga Grada Zagreba.</w:t>
            </w:r>
          </w:p>
          <w:p w:rsidR="002D12B3" w:rsidRDefault="00A5026B" w:rsidP="002D12B3">
            <w:pPr>
              <w:autoSpaceDE w:val="0"/>
              <w:autoSpaceDN w:val="0"/>
              <w:adjustRightInd w:val="0"/>
              <w:jc w:val="both"/>
              <w:rPr>
                <w:rFonts w:eastAsia="Calibri"/>
                <w:bCs/>
                <w:lang w:eastAsia="en-US"/>
              </w:rPr>
            </w:pPr>
            <w:r>
              <w:t>Predloženom O</w:t>
            </w:r>
            <w:r w:rsidR="0004175E" w:rsidRPr="00983821">
              <w:t>dlukom</w:t>
            </w:r>
            <w:r w:rsidR="002D12B3">
              <w:t xml:space="preserve"> mijenja se članak 24. stavak 1. Odluke na način </w:t>
            </w:r>
            <w:r w:rsidR="002D12B3">
              <w:rPr>
                <w:rFonts w:eastAsia="Calibri"/>
                <w:bCs/>
                <w:lang w:eastAsia="en-US"/>
              </w:rPr>
              <w:t xml:space="preserve">da se </w:t>
            </w:r>
            <w:r w:rsidR="002D12B3" w:rsidRPr="002D12B3">
              <w:rPr>
                <w:rFonts w:eastAsia="Calibri"/>
                <w:bCs/>
                <w:lang w:eastAsia="en-US"/>
              </w:rPr>
              <w:t>točno određuje krug korisnika usluge iz kategorije korisnika kućanstvo kojima će se sufinancirati iznos cijene obvezne minimalne javne usluge a prema kojem to  pravo pripada samo onim korisnicima usluga kojima je priznato pravo na naknadu</w:t>
            </w:r>
            <w:r w:rsidR="002D12B3">
              <w:rPr>
                <w:rFonts w:eastAsia="Calibri"/>
                <w:bCs/>
                <w:lang w:eastAsia="en-US"/>
              </w:rPr>
              <w:t xml:space="preserve"> za troškove</w:t>
            </w:r>
            <w:r w:rsidR="002D12B3" w:rsidRPr="002D12B3">
              <w:rPr>
                <w:rFonts w:eastAsia="Calibri"/>
                <w:bCs/>
                <w:lang w:eastAsia="en-US"/>
              </w:rPr>
              <w:t xml:space="preserve"> stanovanja sukladno Odluci o socijalnoj skrbi (Službeni glasnik Grada Zagreba, broj 22/22).</w:t>
            </w:r>
          </w:p>
          <w:p w:rsidR="002D12B3" w:rsidRDefault="002D12B3" w:rsidP="002D12B3">
            <w:pPr>
              <w:autoSpaceDE w:val="0"/>
              <w:autoSpaceDN w:val="0"/>
              <w:adjustRightInd w:val="0"/>
              <w:jc w:val="both"/>
              <w:rPr>
                <w:rFonts w:eastAsia="Calibri"/>
                <w:bCs/>
                <w:lang w:eastAsia="en-US"/>
              </w:rPr>
            </w:pPr>
            <w:r w:rsidRPr="002D12B3">
              <w:rPr>
                <w:rFonts w:eastAsia="Calibri"/>
                <w:bCs/>
                <w:lang w:eastAsia="en-US"/>
              </w:rPr>
              <w:t xml:space="preserve">Nadalje, odredbom članka 25. stavka 2. </w:t>
            </w:r>
            <w:r>
              <w:rPr>
                <w:rFonts w:eastAsia="Calibri"/>
                <w:bCs/>
                <w:lang w:eastAsia="en-US"/>
              </w:rPr>
              <w:t xml:space="preserve"> Odluke </w:t>
            </w:r>
            <w:r w:rsidRPr="002D12B3">
              <w:rPr>
                <w:rFonts w:eastAsia="Calibri"/>
                <w:bCs/>
                <w:lang w:eastAsia="en-US"/>
              </w:rPr>
              <w:t>propisani su kriteriji za umanjenje cijene javne usluge, te je pored ostaloga u trećoj alineji propisano da davatelj usluge odobrava popust za količinu miješanog komunalnog otpada za slučaj korištenja pelena za djecu i odrasle. Obzirom je od donošenja odluke kako od strane građana, tako i od nadležnog gradskog ureda za zdravstvo ukazano kako postoje i druga zdravstvena stanja uslijed kojih bolesnici moraj</w:t>
            </w:r>
            <w:r w:rsidR="00905111">
              <w:rPr>
                <w:rFonts w:eastAsia="Calibri"/>
                <w:bCs/>
                <w:lang w:eastAsia="en-US"/>
              </w:rPr>
              <w:t>u koristiti različite medicinska</w:t>
            </w:r>
            <w:r w:rsidRPr="002D12B3">
              <w:rPr>
                <w:rFonts w:eastAsia="Calibri"/>
                <w:bCs/>
                <w:lang w:eastAsia="en-US"/>
              </w:rPr>
              <w:t xml:space="preserve"> pomagala</w:t>
            </w:r>
            <w:r w:rsidR="00905111">
              <w:rPr>
                <w:rFonts w:eastAsia="Calibri"/>
                <w:bCs/>
                <w:lang w:eastAsia="en-US"/>
              </w:rPr>
              <w:t xml:space="preserve"> i materijale</w:t>
            </w:r>
            <w:r w:rsidRPr="002D12B3">
              <w:rPr>
                <w:rFonts w:eastAsia="Calibri"/>
                <w:bCs/>
                <w:lang w:eastAsia="en-US"/>
              </w:rPr>
              <w:t xml:space="preserve">, poput </w:t>
            </w:r>
            <w:r w:rsidRPr="002D12B3">
              <w:t xml:space="preserve">pomagala za probavni sustav i </w:t>
            </w:r>
            <w:proofErr w:type="spellStart"/>
            <w:r w:rsidRPr="002D12B3">
              <w:t>stoma</w:t>
            </w:r>
            <w:proofErr w:type="spellEnd"/>
            <w:r w:rsidRPr="002D12B3">
              <w:t xml:space="preserve"> pomagala, pomagala za urogenitalni sustav i obloge za rane za kronične bolesnike,</w:t>
            </w:r>
            <w:r w:rsidR="00905111">
              <w:t xml:space="preserve"> što će se odrediti Cjenikom davatelja usluge, a</w:t>
            </w:r>
            <w:r w:rsidRPr="002D12B3">
              <w:t xml:space="preserve"> čijim korištenjem takvim </w:t>
            </w:r>
            <w:r w:rsidRPr="002D12B3">
              <w:rPr>
                <w:rFonts w:eastAsia="Calibri"/>
                <w:bCs/>
                <w:lang w:eastAsia="en-US"/>
              </w:rPr>
              <w:t xml:space="preserve">korisnicima usluge nastaju veće količine miješanog komunalnog otpada od uobičajenih,  potrebno je u članku 25. stavku 2. iza </w:t>
            </w:r>
            <w:r w:rsidRPr="002D12B3">
              <w:rPr>
                <w:rFonts w:eastAsia="Calibri"/>
                <w:bCs/>
                <w:lang w:eastAsia="en-US"/>
              </w:rPr>
              <w:lastRenderedPageBreak/>
              <w:t xml:space="preserve">alineje 3.. dodati novu alineju u kojoj se definiraju </w:t>
            </w:r>
            <w:r>
              <w:rPr>
                <w:rFonts w:eastAsia="Calibri"/>
                <w:bCs/>
                <w:lang w:eastAsia="en-US"/>
              </w:rPr>
              <w:t xml:space="preserve">i </w:t>
            </w:r>
            <w:r w:rsidRPr="002D12B3">
              <w:rPr>
                <w:rFonts w:eastAsia="Calibri"/>
                <w:bCs/>
                <w:lang w:eastAsia="en-US"/>
              </w:rPr>
              <w:t xml:space="preserve">drugi slučajevi zdravstvenih stanja u kojima davatelj usluge odobrava popust za količinu predanog miješanog komunalnog otpada, te s u skladu s istom dopunom </w:t>
            </w:r>
            <w:r>
              <w:rPr>
                <w:rFonts w:eastAsia="Calibri"/>
                <w:bCs/>
                <w:lang w:eastAsia="en-US"/>
              </w:rPr>
              <w:t>usklađena alineja</w:t>
            </w:r>
            <w:r w:rsidRPr="002D12B3">
              <w:rPr>
                <w:rFonts w:eastAsia="Calibri"/>
                <w:bCs/>
                <w:lang w:eastAsia="en-US"/>
              </w:rPr>
              <w:t xml:space="preserve"> 3. obzirom je korištenje pelena za odrasle obuhvaćeno korištenjem pomagala za probavni i urogenitalni sustav.</w:t>
            </w:r>
          </w:p>
          <w:p w:rsidR="002D12B3" w:rsidRPr="002D12B3" w:rsidRDefault="002D12B3" w:rsidP="002D12B3">
            <w:pPr>
              <w:spacing w:after="120" w:line="40" w:lineRule="atLeast"/>
              <w:jc w:val="both"/>
              <w:rPr>
                <w:lang w:eastAsia="en-US"/>
              </w:rPr>
            </w:pPr>
            <w:r>
              <w:rPr>
                <w:rFonts w:eastAsia="Calibri"/>
                <w:bCs/>
                <w:lang w:eastAsia="en-US"/>
              </w:rPr>
              <w:t xml:space="preserve">Također </w:t>
            </w:r>
            <w:r w:rsidRPr="002D12B3">
              <w:rPr>
                <w:lang w:eastAsia="en-US"/>
              </w:rPr>
              <w:t xml:space="preserve">u Općim uvjetima ugovora sa korisnicima usluge koji je kao Prilog III. sastavni dio Odluke u </w:t>
            </w:r>
            <w:r w:rsidR="00905111">
              <w:rPr>
                <w:lang w:eastAsia="en-US"/>
              </w:rPr>
              <w:t>stavku</w:t>
            </w:r>
            <w:r w:rsidRPr="002D12B3">
              <w:rPr>
                <w:lang w:eastAsia="en-US"/>
              </w:rPr>
              <w:t xml:space="preserve"> 28. umjesto propisanog vremenskog okvira u kojem su korisnici usluge bili dužni davatelju usluge učiniti dostupnim svoje spremnike, odnosno odložiti svoje standardizirane vrećice za miješani komunalni otpad na određeno mjesto, propisuje se da je korisnik usluge dužan spremnike, odnosno vreće za mješini komunalni otpad odložiti na određeno mjesto, odnosno učiniti dostupnim davatelju usluge prema rasporedu kojeg će odrediti davatelj usluge.</w:t>
            </w:r>
          </w:p>
          <w:p w:rsidR="003E6360" w:rsidRPr="00397644" w:rsidRDefault="003E6360" w:rsidP="002D12B3">
            <w:pPr>
              <w:adjustRightInd w:val="0"/>
              <w:jc w:val="both"/>
              <w:rPr>
                <w:color w:val="000000" w:themeColor="text1"/>
              </w:rPr>
            </w:pPr>
          </w:p>
        </w:tc>
      </w:tr>
      <w:tr w:rsidR="003E6360" w:rsidRPr="002D6EC9" w:rsidTr="00E62ED3">
        <w:trPr>
          <w:trHeight w:val="756"/>
        </w:trPr>
        <w:tc>
          <w:tcPr>
            <w:tcW w:w="10320" w:type="dxa"/>
            <w:gridSpan w:val="2"/>
            <w:tcBorders>
              <w:left w:val="thickThinSmallGap" w:sz="24" w:space="0" w:color="auto"/>
              <w:bottom w:val="thickThinSmallGap" w:sz="24" w:space="0" w:color="auto"/>
              <w:right w:val="thickThinSmallGap" w:sz="24" w:space="0" w:color="auto"/>
            </w:tcBorders>
            <w:shd w:val="clear" w:color="auto" w:fill="auto"/>
            <w:vAlign w:val="center"/>
          </w:tcPr>
          <w:p w:rsidR="003E6360" w:rsidRDefault="003E6360" w:rsidP="00E62ED3">
            <w:pPr>
              <w:jc w:val="center"/>
              <w:rPr>
                <w:b/>
              </w:rPr>
            </w:pPr>
            <w:r w:rsidRPr="00D22C35">
              <w:rPr>
                <w:b/>
              </w:rPr>
              <w:lastRenderedPageBreak/>
              <w:t>Razdoblje internetskog savjetovanja</w:t>
            </w:r>
          </w:p>
          <w:p w:rsidR="00DB1E84" w:rsidRPr="002C5C06" w:rsidRDefault="003E6360" w:rsidP="00E62ED3">
            <w:pPr>
              <w:jc w:val="center"/>
              <w:rPr>
                <w:b/>
              </w:rPr>
            </w:pPr>
            <w:r w:rsidRPr="002C5C06">
              <w:rPr>
                <w:b/>
              </w:rPr>
              <w:t xml:space="preserve">od </w:t>
            </w:r>
            <w:r w:rsidR="0058214D">
              <w:rPr>
                <w:b/>
              </w:rPr>
              <w:t>07</w:t>
            </w:r>
            <w:r w:rsidR="008123C4" w:rsidRPr="002C5C06">
              <w:rPr>
                <w:b/>
              </w:rPr>
              <w:t>.</w:t>
            </w:r>
            <w:r w:rsidR="0058214D">
              <w:rPr>
                <w:b/>
              </w:rPr>
              <w:t xml:space="preserve"> listopada</w:t>
            </w:r>
            <w:r w:rsidR="00B15BA8">
              <w:rPr>
                <w:b/>
              </w:rPr>
              <w:t xml:space="preserve"> 2022</w:t>
            </w:r>
            <w:r w:rsidR="00B53F98" w:rsidRPr="002C5C06">
              <w:rPr>
                <w:b/>
              </w:rPr>
              <w:t>.</w:t>
            </w:r>
            <w:r w:rsidRPr="002C5C06">
              <w:rPr>
                <w:b/>
              </w:rPr>
              <w:t xml:space="preserve"> do </w:t>
            </w:r>
            <w:r w:rsidR="0058214D">
              <w:rPr>
                <w:b/>
              </w:rPr>
              <w:t>06</w:t>
            </w:r>
            <w:r w:rsidR="00B15BA8">
              <w:rPr>
                <w:b/>
              </w:rPr>
              <w:t xml:space="preserve">. </w:t>
            </w:r>
            <w:r w:rsidR="0058214D">
              <w:rPr>
                <w:b/>
              </w:rPr>
              <w:t>studenog</w:t>
            </w:r>
            <w:r w:rsidR="00B53F98" w:rsidRPr="002C5C06">
              <w:rPr>
                <w:b/>
              </w:rPr>
              <w:t xml:space="preserve"> 2022</w:t>
            </w:r>
            <w:r w:rsidRPr="002C5C06">
              <w:rPr>
                <w:b/>
              </w:rPr>
              <w:t>.</w:t>
            </w:r>
          </w:p>
          <w:p w:rsidR="003E6360" w:rsidRPr="002C5C06" w:rsidRDefault="003E6360" w:rsidP="00E62ED3">
            <w:pPr>
              <w:jc w:val="center"/>
              <w:rPr>
                <w:b/>
                <w:i/>
              </w:rPr>
            </w:pPr>
            <w:r w:rsidRPr="002C5C06">
              <w:rPr>
                <w:b/>
                <w:i/>
              </w:rPr>
              <w:t>(</w:t>
            </w:r>
            <w:r w:rsidRPr="002C5C06">
              <w:rPr>
                <w:b/>
                <w:i/>
                <w:u w:val="single"/>
              </w:rPr>
              <w:t>početak i završetak</w:t>
            </w:r>
            <w:r w:rsidRPr="002C5C06">
              <w:rPr>
                <w:b/>
                <w:i/>
              </w:rPr>
              <w:t>)</w:t>
            </w:r>
          </w:p>
          <w:p w:rsidR="00DB1E84" w:rsidRDefault="00DB1E84" w:rsidP="00E62ED3">
            <w:pPr>
              <w:jc w:val="center"/>
              <w:rPr>
                <w:b/>
                <w:i/>
              </w:rPr>
            </w:pPr>
          </w:p>
          <w:p w:rsidR="00A5026B" w:rsidRPr="00D22C35" w:rsidRDefault="00A5026B" w:rsidP="00E62ED3">
            <w:pPr>
              <w:jc w:val="center"/>
              <w:rPr>
                <w:b/>
                <w:i/>
              </w:rPr>
            </w:pPr>
          </w:p>
        </w:tc>
      </w:tr>
      <w:tr w:rsidR="003E6360" w:rsidRPr="002D6EC9" w:rsidTr="00E62ED3">
        <w:trPr>
          <w:trHeight w:val="1090"/>
        </w:trPr>
        <w:tc>
          <w:tcPr>
            <w:tcW w:w="5135" w:type="dxa"/>
            <w:tcBorders>
              <w:top w:val="thickThinSmallGap" w:sz="24" w:space="0" w:color="auto"/>
              <w:left w:val="thickThinSmallGap" w:sz="24" w:space="0" w:color="auto"/>
            </w:tcBorders>
            <w:vAlign w:val="center"/>
          </w:tcPr>
          <w:p w:rsidR="003E6360" w:rsidRPr="002D6EC9" w:rsidRDefault="003E6360" w:rsidP="00E62ED3">
            <w:r>
              <w:t>Ime i prezime osobe odnosno n</w:t>
            </w:r>
            <w:r w:rsidRPr="002D6EC9">
              <w:t>aziv predstavn</w:t>
            </w:r>
            <w:r>
              <w:t xml:space="preserve">ika </w:t>
            </w:r>
            <w:r w:rsidRPr="000F1899">
              <w:t>zainteresirane</w:t>
            </w:r>
            <w:r>
              <w:t xml:space="preserve"> javnosti koja</w:t>
            </w:r>
            <w:r w:rsidRPr="002D6EC9">
              <w:t xml:space="preserve"> daje svoje primjedbe i prijedloge na predloženi nacrt</w:t>
            </w:r>
          </w:p>
        </w:tc>
        <w:tc>
          <w:tcPr>
            <w:tcW w:w="5185" w:type="dxa"/>
            <w:tcBorders>
              <w:top w:val="thickThinSmallGap" w:sz="24" w:space="0" w:color="auto"/>
              <w:right w:val="thickThinSmallGap" w:sz="24" w:space="0" w:color="auto"/>
            </w:tcBorders>
            <w:vAlign w:val="center"/>
          </w:tcPr>
          <w:p w:rsidR="003E6360" w:rsidRPr="002D6EC9" w:rsidRDefault="003E6360" w:rsidP="00E62ED3"/>
        </w:tc>
      </w:tr>
      <w:tr w:rsidR="003E6360" w:rsidRPr="002D6EC9" w:rsidTr="00E62ED3">
        <w:trPr>
          <w:trHeight w:val="689"/>
        </w:trPr>
        <w:tc>
          <w:tcPr>
            <w:tcW w:w="5135" w:type="dxa"/>
            <w:tcBorders>
              <w:left w:val="thickThinSmallGap" w:sz="24" w:space="0" w:color="auto"/>
            </w:tcBorders>
            <w:vAlign w:val="center"/>
          </w:tcPr>
          <w:p w:rsidR="003E6360" w:rsidRPr="002D6EC9" w:rsidRDefault="003E6360" w:rsidP="00E62ED3">
            <w:r w:rsidRPr="002D6EC9">
              <w:t>Interes, odnosno kategorija i brojnost korisnika koje predstavljate</w:t>
            </w:r>
          </w:p>
        </w:tc>
        <w:tc>
          <w:tcPr>
            <w:tcW w:w="5185" w:type="dxa"/>
            <w:tcBorders>
              <w:right w:val="thickThinSmallGap" w:sz="24" w:space="0" w:color="auto"/>
            </w:tcBorders>
            <w:vAlign w:val="center"/>
          </w:tcPr>
          <w:p w:rsidR="003E6360" w:rsidRPr="002D6EC9" w:rsidRDefault="003E6360" w:rsidP="00E62ED3"/>
        </w:tc>
      </w:tr>
      <w:tr w:rsidR="003E6360" w:rsidRPr="002D6EC9" w:rsidTr="00E62ED3">
        <w:trPr>
          <w:trHeight w:val="544"/>
        </w:trPr>
        <w:tc>
          <w:tcPr>
            <w:tcW w:w="5135" w:type="dxa"/>
            <w:tcBorders>
              <w:left w:val="thickThinSmallGap" w:sz="24" w:space="0" w:color="auto"/>
            </w:tcBorders>
            <w:vAlign w:val="center"/>
          </w:tcPr>
          <w:p w:rsidR="003E6360" w:rsidRPr="002D6EC9" w:rsidRDefault="003E6360" w:rsidP="00E62ED3">
            <w:r w:rsidRPr="002D6EC9">
              <w:t>Načelne primjedbe</w:t>
            </w:r>
            <w:r>
              <w:t xml:space="preserve"> i prijedlozi na predloženi nacrt akta s obrazloženjem</w:t>
            </w:r>
          </w:p>
        </w:tc>
        <w:tc>
          <w:tcPr>
            <w:tcW w:w="5185" w:type="dxa"/>
            <w:tcBorders>
              <w:right w:val="thickThinSmallGap" w:sz="24" w:space="0" w:color="auto"/>
            </w:tcBorders>
            <w:vAlign w:val="center"/>
          </w:tcPr>
          <w:p w:rsidR="003E6360" w:rsidRDefault="003E6360" w:rsidP="00E62ED3"/>
          <w:p w:rsidR="003E6360" w:rsidRDefault="003E6360" w:rsidP="00E62ED3"/>
          <w:p w:rsidR="003E6360" w:rsidRDefault="003E6360" w:rsidP="00E62ED3"/>
          <w:p w:rsidR="003E6360" w:rsidRDefault="003E6360" w:rsidP="00E62ED3"/>
          <w:p w:rsidR="003E6360" w:rsidRPr="002D6EC9" w:rsidRDefault="003E6360" w:rsidP="00E62ED3"/>
        </w:tc>
      </w:tr>
      <w:tr w:rsidR="003E6360" w:rsidRPr="002D6EC9" w:rsidTr="00E62ED3">
        <w:trPr>
          <w:trHeight w:val="1782"/>
        </w:trPr>
        <w:tc>
          <w:tcPr>
            <w:tcW w:w="5135" w:type="dxa"/>
            <w:tcBorders>
              <w:left w:val="thickThinSmallGap" w:sz="24" w:space="0" w:color="auto"/>
            </w:tcBorders>
            <w:vAlign w:val="center"/>
          </w:tcPr>
          <w:p w:rsidR="003E6360" w:rsidRPr="002D6EC9" w:rsidRDefault="003E6360" w:rsidP="00E62ED3">
            <w:r w:rsidRPr="002D6EC9">
              <w:t xml:space="preserve">Primjedbe </w:t>
            </w:r>
            <w:r>
              <w:t>i prijedlozi na pojedine članke nacrta prijedloga akta</w:t>
            </w:r>
            <w:r w:rsidRPr="002D6EC9">
              <w:t xml:space="preserve"> s obrazloženjem</w:t>
            </w:r>
          </w:p>
          <w:p w:rsidR="003E6360" w:rsidRPr="002D6EC9" w:rsidRDefault="003E6360" w:rsidP="00E62ED3"/>
          <w:p w:rsidR="003E6360" w:rsidRPr="002E7BAF" w:rsidRDefault="003E6360" w:rsidP="00E62ED3">
            <w:pPr>
              <w:rPr>
                <w:i/>
              </w:rPr>
            </w:pPr>
          </w:p>
        </w:tc>
        <w:tc>
          <w:tcPr>
            <w:tcW w:w="5185" w:type="dxa"/>
            <w:tcBorders>
              <w:right w:val="thickThinSmallGap" w:sz="24" w:space="0" w:color="auto"/>
            </w:tcBorders>
            <w:vAlign w:val="center"/>
          </w:tcPr>
          <w:p w:rsidR="003E6360" w:rsidRPr="002D6EC9" w:rsidRDefault="003E6360" w:rsidP="00E62ED3"/>
        </w:tc>
      </w:tr>
      <w:tr w:rsidR="003E6360" w:rsidRPr="002D6EC9" w:rsidTr="00E62ED3">
        <w:trPr>
          <w:trHeight w:val="1236"/>
        </w:trPr>
        <w:tc>
          <w:tcPr>
            <w:tcW w:w="5135" w:type="dxa"/>
            <w:tcBorders>
              <w:left w:val="thickThinSmallGap" w:sz="24" w:space="0" w:color="auto"/>
            </w:tcBorders>
            <w:vAlign w:val="center"/>
          </w:tcPr>
          <w:p w:rsidR="003E6360" w:rsidRPr="002D6EC9" w:rsidRDefault="003E6360" w:rsidP="00E62ED3">
            <w:r w:rsidRPr="002D6EC9">
              <w:t xml:space="preserve">Ime i prezime osobe (ili osoba) koja je sastavljala primjedbe </w:t>
            </w:r>
            <w:r>
              <w:t xml:space="preserve">i prijedloge </w:t>
            </w:r>
            <w:r w:rsidRPr="002D6EC9">
              <w:t xml:space="preserve">ili osobe </w:t>
            </w:r>
            <w:r>
              <w:t>koja</w:t>
            </w:r>
            <w:r w:rsidRPr="002D6EC9">
              <w:t xml:space="preserve"> </w:t>
            </w:r>
            <w:r>
              <w:t>predstavlja</w:t>
            </w:r>
            <w:r w:rsidRPr="002D6EC9">
              <w:t xml:space="preserve"> </w:t>
            </w:r>
            <w:r>
              <w:t>zainteresiranu javnost, e-mail ili drugi podaci za kontakt</w:t>
            </w:r>
          </w:p>
        </w:tc>
        <w:tc>
          <w:tcPr>
            <w:tcW w:w="5185" w:type="dxa"/>
            <w:tcBorders>
              <w:right w:val="thickThinSmallGap" w:sz="24" w:space="0" w:color="auto"/>
            </w:tcBorders>
            <w:vAlign w:val="center"/>
          </w:tcPr>
          <w:p w:rsidR="003E6360" w:rsidRPr="002D6EC9" w:rsidRDefault="003E6360" w:rsidP="00E62ED3"/>
        </w:tc>
      </w:tr>
      <w:tr w:rsidR="003E6360" w:rsidRPr="002D6EC9" w:rsidTr="00E62ED3">
        <w:trPr>
          <w:trHeight w:val="531"/>
        </w:trPr>
        <w:tc>
          <w:tcPr>
            <w:tcW w:w="5135" w:type="dxa"/>
            <w:tcBorders>
              <w:left w:val="thickThinSmallGap" w:sz="24" w:space="0" w:color="auto"/>
              <w:bottom w:val="thickThinSmallGap" w:sz="24" w:space="0" w:color="auto"/>
            </w:tcBorders>
            <w:vAlign w:val="center"/>
          </w:tcPr>
          <w:p w:rsidR="003E6360" w:rsidRPr="002D6EC9" w:rsidRDefault="003E6360" w:rsidP="00E62ED3">
            <w:r w:rsidRPr="002D6EC9">
              <w:t>Datum dostavljanja</w:t>
            </w:r>
          </w:p>
        </w:tc>
        <w:tc>
          <w:tcPr>
            <w:tcW w:w="5185" w:type="dxa"/>
            <w:tcBorders>
              <w:bottom w:val="thickThinSmallGap" w:sz="24" w:space="0" w:color="auto"/>
              <w:right w:val="thickThinSmallGap" w:sz="24" w:space="0" w:color="auto"/>
            </w:tcBorders>
            <w:vAlign w:val="center"/>
          </w:tcPr>
          <w:p w:rsidR="003E6360" w:rsidRPr="002D6EC9" w:rsidRDefault="003E6360" w:rsidP="00E62ED3"/>
        </w:tc>
      </w:tr>
    </w:tbl>
    <w:p w:rsidR="00B53F98" w:rsidRPr="007E6F96" w:rsidRDefault="00B53F98" w:rsidP="00B53F98">
      <w:pPr>
        <w:jc w:val="center"/>
        <w:rPr>
          <w:b/>
        </w:rPr>
      </w:pPr>
      <w:r w:rsidRPr="007E6F96">
        <w:rPr>
          <w:b/>
        </w:rPr>
        <w:t>Važna napomena:</w:t>
      </w:r>
    </w:p>
    <w:p w:rsidR="00021E92" w:rsidRDefault="00B53F98" w:rsidP="00B53F98">
      <w:pPr>
        <w:jc w:val="center"/>
        <w:rPr>
          <w:b/>
        </w:rPr>
      </w:pPr>
      <w:r w:rsidRPr="00C41BC7">
        <w:rPr>
          <w:b/>
        </w:rPr>
        <w:lastRenderedPageBreak/>
        <w:t xml:space="preserve">Popunjeni obrazac dostaviti na adresu elektroničke pošte:  </w:t>
      </w:r>
    </w:p>
    <w:p w:rsidR="00021E92" w:rsidRDefault="00021E92" w:rsidP="00B53F98">
      <w:pPr>
        <w:jc w:val="center"/>
        <w:rPr>
          <w:b/>
        </w:rPr>
      </w:pPr>
      <w:hyperlink r:id="rId6" w:history="1">
        <w:r w:rsidRPr="00A173BD">
          <w:rPr>
            <w:rStyle w:val="Hyperlink"/>
            <w:b/>
          </w:rPr>
          <w:t>savjetovanje-gospodarstvo@zagreb.hr</w:t>
        </w:r>
      </w:hyperlink>
      <w:r w:rsidR="00B53F98" w:rsidRPr="00C41BC7">
        <w:rPr>
          <w:b/>
        </w:rPr>
        <w:t xml:space="preserve"> </w:t>
      </w:r>
    </w:p>
    <w:p w:rsidR="00021E92" w:rsidRDefault="00021E92" w:rsidP="00B53F98">
      <w:pPr>
        <w:jc w:val="center"/>
        <w:rPr>
          <w:b/>
        </w:rPr>
      </w:pPr>
    </w:p>
    <w:p w:rsidR="00B53F98" w:rsidRPr="002C5C06" w:rsidRDefault="00B53F98" w:rsidP="00B53F98">
      <w:pPr>
        <w:jc w:val="center"/>
        <w:rPr>
          <w:b/>
        </w:rPr>
      </w:pPr>
      <w:bookmarkStart w:id="0" w:name="_GoBack"/>
      <w:bookmarkEnd w:id="0"/>
      <w:r w:rsidRPr="00C41BC7">
        <w:rPr>
          <w:b/>
        </w:rPr>
        <w:t xml:space="preserve">zaključno do </w:t>
      </w:r>
      <w:r w:rsidR="00F436CA">
        <w:rPr>
          <w:b/>
        </w:rPr>
        <w:t>06</w:t>
      </w:r>
      <w:r w:rsidR="00B15BA8">
        <w:rPr>
          <w:b/>
        </w:rPr>
        <w:t xml:space="preserve">. </w:t>
      </w:r>
      <w:r w:rsidR="00F436CA">
        <w:rPr>
          <w:b/>
        </w:rPr>
        <w:t>studenog</w:t>
      </w:r>
      <w:r w:rsidRPr="002C5C06">
        <w:rPr>
          <w:b/>
        </w:rPr>
        <w:t xml:space="preserve"> 2022.</w:t>
      </w:r>
    </w:p>
    <w:p w:rsidR="00B53F98" w:rsidRPr="002C5C06" w:rsidRDefault="00B53F98" w:rsidP="00B53F98">
      <w:pPr>
        <w:rPr>
          <w:b/>
        </w:rPr>
      </w:pPr>
    </w:p>
    <w:p w:rsidR="00B53F98" w:rsidRPr="00C41BC7" w:rsidRDefault="00B53F98" w:rsidP="00B53F98">
      <w:pPr>
        <w:jc w:val="center"/>
        <w:rPr>
          <w:b/>
        </w:rPr>
      </w:pPr>
      <w:r w:rsidRPr="00C41BC7">
        <w:rPr>
          <w:b/>
        </w:rPr>
        <w:t xml:space="preserve">Po završetku savjetovanja, sve pristigle primjedbe/prijedlozi biti će javno dostupni na internetskoj stranici Grada Zagreba. </w:t>
      </w:r>
    </w:p>
    <w:p w:rsidR="00B53F98" w:rsidRPr="00C41BC7" w:rsidRDefault="00B53F98" w:rsidP="00B53F98">
      <w:pPr>
        <w:jc w:val="center"/>
        <w:rPr>
          <w:b/>
        </w:rPr>
      </w:pPr>
      <w:r w:rsidRPr="00C41BC7">
        <w:rPr>
          <w:b/>
        </w:rPr>
        <w:t>Anonimni, uvredljivi i irelevantni komentari neće se objaviti.</w:t>
      </w:r>
    </w:p>
    <w:p w:rsidR="00B53F98" w:rsidRDefault="00B53F98" w:rsidP="00B53F98">
      <w:pPr>
        <w:jc w:val="center"/>
        <w:rPr>
          <w:sz w:val="22"/>
          <w:szCs w:val="22"/>
        </w:rPr>
      </w:pPr>
    </w:p>
    <w:p w:rsidR="003E6360" w:rsidRDefault="003E6360" w:rsidP="003E6360">
      <w:pPr>
        <w:rPr>
          <w:sz w:val="22"/>
          <w:szCs w:val="22"/>
        </w:rPr>
      </w:pPr>
    </w:p>
    <w:p w:rsidR="00AB3D82" w:rsidRDefault="00AB3D82"/>
    <w:sectPr w:rsidR="00AB3D82" w:rsidSect="00A47BE4">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63712"/>
    <w:multiLevelType w:val="hybridMultilevel"/>
    <w:tmpl w:val="C3482C0A"/>
    <w:lvl w:ilvl="0" w:tplc="F9607C1C">
      <w:numFmt w:val="bullet"/>
      <w:lvlText w:val="-"/>
      <w:lvlJc w:val="left"/>
      <w:pPr>
        <w:ind w:left="720" w:hanging="360"/>
      </w:pPr>
      <w:rPr>
        <w:rFonts w:ascii="Calibri" w:eastAsia="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F0"/>
    <w:rsid w:val="00021E92"/>
    <w:rsid w:val="0004175E"/>
    <w:rsid w:val="00042BFA"/>
    <w:rsid w:val="00064FB6"/>
    <w:rsid w:val="00080019"/>
    <w:rsid w:val="000E27FA"/>
    <w:rsid w:val="000E6E2E"/>
    <w:rsid w:val="00123B0F"/>
    <w:rsid w:val="001240D4"/>
    <w:rsid w:val="001307BA"/>
    <w:rsid w:val="00130EB5"/>
    <w:rsid w:val="00140BDB"/>
    <w:rsid w:val="001479EC"/>
    <w:rsid w:val="00177CB0"/>
    <w:rsid w:val="001960F0"/>
    <w:rsid w:val="001E3FED"/>
    <w:rsid w:val="002412E5"/>
    <w:rsid w:val="002769DB"/>
    <w:rsid w:val="002C5C06"/>
    <w:rsid w:val="002D12B3"/>
    <w:rsid w:val="003026AF"/>
    <w:rsid w:val="00325728"/>
    <w:rsid w:val="00351B8B"/>
    <w:rsid w:val="00397644"/>
    <w:rsid w:val="003E6360"/>
    <w:rsid w:val="0040512E"/>
    <w:rsid w:val="004C5B0F"/>
    <w:rsid w:val="0058214D"/>
    <w:rsid w:val="00585E64"/>
    <w:rsid w:val="005E5223"/>
    <w:rsid w:val="005F46AE"/>
    <w:rsid w:val="00707AC6"/>
    <w:rsid w:val="00727FCE"/>
    <w:rsid w:val="00794534"/>
    <w:rsid w:val="00807837"/>
    <w:rsid w:val="008123C4"/>
    <w:rsid w:val="008D56D2"/>
    <w:rsid w:val="00905111"/>
    <w:rsid w:val="00922D5F"/>
    <w:rsid w:val="009322CE"/>
    <w:rsid w:val="00937395"/>
    <w:rsid w:val="00954470"/>
    <w:rsid w:val="00984E62"/>
    <w:rsid w:val="009943B8"/>
    <w:rsid w:val="009D162B"/>
    <w:rsid w:val="009F6F4D"/>
    <w:rsid w:val="00A03D2D"/>
    <w:rsid w:val="00A14692"/>
    <w:rsid w:val="00A36BC3"/>
    <w:rsid w:val="00A5026B"/>
    <w:rsid w:val="00A552CE"/>
    <w:rsid w:val="00A773B0"/>
    <w:rsid w:val="00AB3D82"/>
    <w:rsid w:val="00B02C1D"/>
    <w:rsid w:val="00B036B7"/>
    <w:rsid w:val="00B13D8A"/>
    <w:rsid w:val="00B15BA8"/>
    <w:rsid w:val="00B53F98"/>
    <w:rsid w:val="00B92074"/>
    <w:rsid w:val="00BB230A"/>
    <w:rsid w:val="00BB6354"/>
    <w:rsid w:val="00BD087E"/>
    <w:rsid w:val="00C12678"/>
    <w:rsid w:val="00C6302D"/>
    <w:rsid w:val="00C662D4"/>
    <w:rsid w:val="00C8394F"/>
    <w:rsid w:val="00CA4156"/>
    <w:rsid w:val="00D20102"/>
    <w:rsid w:val="00DA697C"/>
    <w:rsid w:val="00DB1E84"/>
    <w:rsid w:val="00DE6E38"/>
    <w:rsid w:val="00E3424D"/>
    <w:rsid w:val="00E96290"/>
    <w:rsid w:val="00EB2845"/>
    <w:rsid w:val="00F1186B"/>
    <w:rsid w:val="00F23E5E"/>
    <w:rsid w:val="00F436CA"/>
    <w:rsid w:val="00F825C2"/>
    <w:rsid w:val="00FB26B3"/>
    <w:rsid w:val="00FB2DF5"/>
    <w:rsid w:val="00FD2A49"/>
    <w:rsid w:val="00FD6C18"/>
    <w:rsid w:val="00FE2A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3B4E"/>
  <w15:docId w15:val="{9E30AE26-DAB7-4DCB-80E4-69362E79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36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6360"/>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FootnoteText">
    <w:name w:val="footnote text"/>
    <w:basedOn w:val="Normal"/>
    <w:link w:val="FootnoteTextChar"/>
    <w:unhideWhenUsed/>
    <w:rsid w:val="003E6360"/>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3E6360"/>
    <w:rPr>
      <w:rFonts w:ascii="Calibri" w:eastAsia="Calibri" w:hAnsi="Calibri" w:cs="Times New Roman"/>
      <w:sz w:val="20"/>
      <w:szCs w:val="20"/>
    </w:rPr>
  </w:style>
  <w:style w:type="paragraph" w:styleId="ListParagraph">
    <w:name w:val="List Paragraph"/>
    <w:basedOn w:val="Normal"/>
    <w:uiPriority w:val="34"/>
    <w:qFormat/>
    <w:rsid w:val="00794534"/>
    <w:pPr>
      <w:ind w:left="720"/>
    </w:pPr>
    <w:rPr>
      <w:rFonts w:ascii="Calibri" w:eastAsiaTheme="minorHAnsi" w:hAnsi="Calibri"/>
      <w:sz w:val="22"/>
      <w:szCs w:val="22"/>
      <w:lang w:eastAsia="en-US"/>
    </w:rPr>
  </w:style>
  <w:style w:type="paragraph" w:styleId="NormalWeb">
    <w:name w:val="Normal (Web)"/>
    <w:basedOn w:val="Normal"/>
    <w:uiPriority w:val="99"/>
    <w:unhideWhenUsed/>
    <w:rsid w:val="0004175E"/>
    <w:pPr>
      <w:spacing w:before="100" w:beforeAutospacing="1" w:after="100" w:afterAutospacing="1"/>
    </w:pPr>
  </w:style>
  <w:style w:type="paragraph" w:customStyle="1" w:styleId="t-9-8">
    <w:name w:val="t-9-8"/>
    <w:basedOn w:val="Normal"/>
    <w:rsid w:val="0004175E"/>
    <w:pPr>
      <w:spacing w:before="100" w:beforeAutospacing="1" w:after="100" w:afterAutospacing="1"/>
    </w:pPr>
  </w:style>
  <w:style w:type="character" w:styleId="Hyperlink">
    <w:name w:val="Hyperlink"/>
    <w:rsid w:val="00EB2845"/>
    <w:rPr>
      <w:color w:val="0000FF"/>
      <w:u w:val="single"/>
    </w:rPr>
  </w:style>
  <w:style w:type="character" w:styleId="UnresolvedMention">
    <w:name w:val="Unresolved Mention"/>
    <w:basedOn w:val="DefaultParagraphFont"/>
    <w:uiPriority w:val="99"/>
    <w:semiHidden/>
    <w:unhideWhenUsed/>
    <w:rsid w:val="00021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320622">
      <w:bodyDiv w:val="1"/>
      <w:marLeft w:val="0"/>
      <w:marRight w:val="0"/>
      <w:marTop w:val="0"/>
      <w:marBottom w:val="0"/>
      <w:divBdr>
        <w:top w:val="none" w:sz="0" w:space="0" w:color="auto"/>
        <w:left w:val="none" w:sz="0" w:space="0" w:color="auto"/>
        <w:bottom w:val="none" w:sz="0" w:space="0" w:color="auto"/>
        <w:right w:val="none" w:sz="0" w:space="0" w:color="auto"/>
      </w:divBdr>
    </w:div>
    <w:div w:id="1350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jetovanje-gospodarstvo@zagreb.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01104-D273-4406-951A-925DFBC07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3758</Characters>
  <Application>Microsoft Office Word</Application>
  <DocSecurity>4</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Šoufek</dc:creator>
  <cp:lastModifiedBy>Oliver Knežević</cp:lastModifiedBy>
  <cp:revision>2</cp:revision>
  <cp:lastPrinted>2017-11-08T12:54:00Z</cp:lastPrinted>
  <dcterms:created xsi:type="dcterms:W3CDTF">2022-10-07T13:46:00Z</dcterms:created>
  <dcterms:modified xsi:type="dcterms:W3CDTF">2022-10-07T13:46:00Z</dcterms:modified>
</cp:coreProperties>
</file>