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DE92C3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spacing w:lineRule="auto" w:line="240" w:after="0"/>
      </w:pPr>
    </w:p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78" w:type="dxa"/>
          </w:tcPr>
          <w:p>
            <w:pPr>
              <w:jc w:val="center"/>
              <w:ind w:right="3415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spacing w:lineRule="auto" w:line="240" w:after="0"/>
        <w:ind w:right="3415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Republika Hrvatska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Odjel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Središnji odsjek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>Trg Stjepana Radića 1, Zagreb</w:t>
      </w:r>
    </w:p>
    <w:p>
      <w:pPr>
        <w:spacing w:lineRule="auto" w:line="240" w:after="0"/>
        <w:ind w:right="5386"/>
        <w:rPr>
          <w:rFonts w:ascii="Times New Roman" w:hAnsi="Times New Roman"/>
        </w:rPr>
      </w:pP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Klasa: UP/I 361-03/2016-001/240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Urbroj: 251-13-22-1/029-16-2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Zagreb, 19.04.2016.</w:t>
      </w:r>
    </w:p>
    <w:p>
      <w:pPr>
        <w:jc w:val="both"/>
        <w:spacing w:lineRule="auto" w:line="240" w:after="0"/>
        <w:ind w:firstLine="720" w:left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Gradski ured za prostorno uređenje, izgradnju Grada, graditeljstvo, komunalne poslove i promet, Odjel za graditeljstvo, Središnji odsjek za graditeljstvo, na temelju čl. 95. Zakona o općem upravnom postupku (Narodne novine, br.47/09), rješavajući po zahtjevu Skupa suvlasnika stambeno poslovne zgrade iz Zagreba, Dobri dol 49, zastupanih po predstavniku suvlasnika Franji Vidoviću, a ovaj po opunomoćenici Svjetlani Jović iz trgovačkog društva APIS d.o.o. iz Zagreba, Nova cesta 48, u postupku izdavanja građevinske dozvole,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center"/>
        <w:spacing w:lineRule="auto" w:line="240" w:after="0"/>
        <w:ind w:firstLine="0" w:lef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 O Z I V A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investitore, vlasnike i nositelje drugih stvarnih prava na nekretninama oznake k.č.br. 3723 i k.č.br. 3726, obje k.o. Maksimir, u postupku izdavanja građevinske dozvole za rekonstrukciju stambeno poslovne građevine izgrađene na k.č. br. 3723 k.o. Maksimir u svrhu izgradnje  dizala u Zagrebu, Dobri dol 49, da izvrše uvid u spis predmeta, radi izjašnjenja, dana 03.05.2016. u 10,00 sati, u Središnjem odsjeku za graditeljstvo, Trg Stjepana Radića 1, Zagreb, soba 130, I kat.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Uvidu u spis predmeta mogu pristupiti osobe koje dokažu da su stranke u postupku osobno ili putem opunomoćenika, uz predočenje isprave temeljem koje su stekli pravo vlasništva ili kakvo drugo stvarno pravo.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>Građevinska dozvola može se izdati i ako se stranke ne odazove pozivu.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center"/>
        <w:spacing w:lineRule="auto" w:line="240" w:after="0"/>
        <w:ind w:firstLine="4214" w:left="0"/>
        <w:rPr>
          <w:rFonts w:ascii="Times New Roman" w:hAnsi="Times New Roman"/>
        </w:rPr>
      </w:pPr>
      <w:r>
        <w:rPr>
          <w:rFonts w:ascii="Times New Roman" w:hAnsi="Times New Roman"/>
        </w:rPr>
        <w:t>Upravni savjetnik</w:t>
      </w:r>
    </w:p>
    <w:p>
      <w:pPr>
        <w:jc w:val="center"/>
        <w:spacing w:lineRule="auto" w:line="240" w:after="0"/>
        <w:ind w:firstLine="4214" w:left="0"/>
        <w:rPr>
          <w:rFonts w:ascii="Times New Roman" w:hAnsi="Times New Roman"/>
        </w:rPr>
      </w:pPr>
    </w:p>
    <w:p>
      <w:pPr>
        <w:jc w:val="center"/>
        <w:spacing w:lineRule="auto" w:line="240" w:after="0"/>
        <w:ind w:firstLine="4214" w:left="0"/>
        <w:rPr>
          <w:rFonts w:ascii="Times New Roman" w:hAnsi="Times New Roman"/>
        </w:rPr>
      </w:pPr>
      <w:r>
        <w:rPr>
          <w:rFonts w:ascii="Times New Roman" w:hAnsi="Times New Roman"/>
        </w:rPr>
        <w:t>Zrinka Čudina, dipl. ing. arh.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  <w:t>Oglasna ploča, 8 dana ovdje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  <w:t>Na građevnoj čestici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  <w:tab/>
        <w:t>e-stranica Grada Zagreba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  <w:tab/>
        <w:t>Pismohrana, ovdje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center"/>
        <w:spacing w:lineRule="auto" w:line="240" w:after="0"/>
        <w:ind w:left="4536"/>
        <w:rPr>
          <w:rFonts w:ascii="Times New Roman" w:hAnsi="Times New Roman"/>
        </w:rPr>
      </w:pPr>
    </w:p>
    <w:sectPr>
      <w:type w:val="nextPage"/>
      <w:titlePg w:val="1"/>
      <w:pgSz w:w="11906" w:h="16838"/>
      <w:pgMar w:left="1418" w:right="1418" w:top="567" w:bottom="1418" w:header="709" w:footer="709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361-03/2016-001/240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76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/>
  </w:style>
  <w:style w:type="paragraph" w:styleId="P1">
    <w:name w:val="Balloon Text"/>
    <w:basedOn w:val="P0"/>
    <w:link w:val="C3"/>
    <w:semiHidden w:val="1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semiHidden w:val="1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pPr>
      <w:spacing w:lineRule="auto" w:line="240" w:after="0"/>
    </w:pPr>
    <w:rPr>
      <w:rFonts w:ascii="Times New Roman" w:hAnsi="Times New Roman"/>
      <w:sz w:val="20"/>
    </w:rPr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