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8341F8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spacing w:lineRule="auto" w:line="240" w:after="0"/>
      </w:pPr>
    </w:p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78" w:type="dxa"/>
          </w:tcPr>
          <w:p>
            <w:pPr>
              <w:jc w:val="center"/>
              <w:ind w:right="3415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spacing w:lineRule="auto" w:line="240" w:after="0"/>
        <w:ind w:right="3415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1"/>
        </w:rPr>
        <w:t>Republika Hrvatska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  <w:caps w:val="1"/>
        </w:rPr>
        <w:t>Grad Zagreb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GRADSKI URED ZA PROSTORNO UREĐENJE, IZGRADNJU GRADA, GRADITELJSTVO, KOMUNALNE POSLOVE I PROMET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Odjel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Središnji odsjek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>Trg Stjepana Radića 1, Zagreb</w:t>
      </w:r>
    </w:p>
    <w:p>
      <w:pPr>
        <w:spacing w:lineRule="auto" w:line="240" w:after="0"/>
        <w:ind w:right="5386"/>
        <w:rPr>
          <w:rFonts w:ascii="Times New Roman" w:hAnsi="Times New Roman"/>
        </w:rPr>
      </w:pP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Klasa: UP/I 361-03/2015-001/30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Urbroj: 251-13-22/150-2015-3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Zagreb, 05.05.2015.</w:t>
      </w:r>
    </w:p>
    <w:p>
      <w:pPr>
        <w:jc w:val="both"/>
        <w:spacing w:lineRule="auto" w:line="240" w:after="0"/>
        <w:ind w:firstLine="720" w:left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>Gradski ured za prostorno uređenje, izgradnju Grada, graditeljstvo, komunalne poslove i promet, Odjel za graditeljstvo, Središnji odsjek za graditeljstvo, temeljem odredbe članka 99. i 116. st. 1. Zakona o gradnji (Nar.nov.br.153/13), u ponovnom postupku izdavanja građevinske dozvole za rekonstrukciju i nadogradnju Osnovne škole Odra na k. č. br. 2523 k. o. Odra, Đačka 5., po zahtjevu Grada Zagreba, Zagreb, Trg Stjepana Radića 1.,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</w:p>
    <w:p>
      <w:pPr>
        <w:jc w:val="center"/>
        <w:spacing w:lineRule="auto" w:line="240" w:after="0"/>
        <w:ind w:lef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P O Z I V A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investitora, vlasnike nekretnine za koju se izdaje građevinska dozvola i nositelje drugih stvarnih prava na predmetnoj nekretnini (k. č. br. 2523/1 k. o. Odra) te vlasnike i nositelje drugih stvarnih prava na nekretninama koje neposredno graniče s nekretninom za koju se izdaje građevinska dozvola (k. č. br. 2523/2, 2525, 2524, 2527, 2528/1, 2530, 2509, 2510, 2511, 2512, 2513, 2521, 2522 i 4315/3 sve k. o. Odra) da izvrše uvid u spis predmeta, radi izjašnjenja, dana 18. 5. 2015.  u  9.30 sati., u Središnjem odsjeku za graditeljstvo, Trg Stjepana Radića 1. soba 125., I kat. </w:t>
      </w: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Uvidu u spis predmeta mogu pristupiti osobe koje dokažu da su stranke u postupku osobno ili putem opunomoćenika, uz predočenje isprave temeljem koje su stekli pravo vlasništva ili kakvo drugo stvarno pravo. </w:t>
      </w: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>Građevinska dozvola može se izdati iako se stranka ne odazove pozivu .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</w:p>
    <w:p>
      <w:pPr>
        <w:jc w:val="center"/>
        <w:spacing w:lineRule="auto" w:line="240" w:after="0"/>
        <w:ind w:left="3931"/>
        <w:rPr>
          <w:rFonts w:ascii="Times New Roman" w:hAnsi="Times New Roman"/>
        </w:rPr>
      </w:pPr>
      <w:r>
        <w:rPr>
          <w:rFonts w:ascii="Times New Roman" w:hAnsi="Times New Roman"/>
        </w:rPr>
        <w:t>Viši upravni savjetnik</w:t>
      </w:r>
    </w:p>
    <w:p>
      <w:pPr>
        <w:jc w:val="center"/>
        <w:spacing w:lineRule="auto" w:line="240" w:after="0"/>
        <w:ind w:left="3931"/>
        <w:rPr>
          <w:rFonts w:ascii="Times New Roman" w:hAnsi="Times New Roman"/>
        </w:rPr>
      </w:pPr>
    </w:p>
    <w:p>
      <w:pPr>
        <w:jc w:val="center"/>
        <w:spacing w:lineRule="auto" w:line="240" w:after="0"/>
        <w:ind w:left="3931"/>
        <w:rPr>
          <w:rFonts w:ascii="Times New Roman" w:hAnsi="Times New Roman"/>
        </w:rPr>
      </w:pPr>
      <w:r>
        <w:rPr>
          <w:rFonts w:ascii="Times New Roman" w:hAnsi="Times New Roman"/>
        </w:rPr>
        <w:t>Gordan Ciglar, dipl. ing. arh.</w:t>
      </w:r>
    </w:p>
    <w:p>
      <w:pPr>
        <w:jc w:val="center"/>
        <w:spacing w:lineRule="auto" w:line="240" w:after="0"/>
        <w:ind w:left="3931"/>
        <w:rPr>
          <w:rFonts w:ascii="Times New Roman" w:hAnsi="Times New Roman"/>
        </w:rPr>
      </w:pP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>Oglasna ploča (8 dana)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Na građevini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na web stranici Grada Zagreba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>Pismohrana</w:t>
      </w:r>
    </w:p>
    <w:p>
      <w:pPr>
        <w:jc w:val="both"/>
        <w:spacing w:lineRule="auto" w:line="240" w:after="0"/>
        <w:ind w:left="0"/>
        <w:rPr>
          <w:rFonts w:ascii="Times New Roman" w:hAnsi="Times New Roman"/>
        </w:rPr>
      </w:pPr>
    </w:p>
    <w:sectPr>
      <w:type w:val="nextPage"/>
      <w:pgSz w:w="11906" w:h="16838"/>
      <w:pgMar w:left="1418" w:right="1418" w:top="567" w:bottom="1418" w:header="709" w:footer="709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76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/>
  </w:style>
  <w:style w:type="paragraph" w:styleId="P1">
    <w:name w:val="Balloon Text"/>
    <w:basedOn w:val="P0"/>
    <w:link w:val="C3"/>
    <w:semiHidden w:val="1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1"/>
    <w:semiHidden w:val="1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pPr>
      <w:spacing w:lineRule="auto" w:line="240" w:after="0"/>
    </w:pPr>
    <w:rPr>
      <w:rFonts w:ascii="Times New Roman" w:hAnsi="Times New Roman"/>
      <w:sz w:val="20"/>
    </w:rPr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