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DEB" w:rsidRPr="005D49DB" w:rsidRDefault="007D30EA" w:rsidP="00CD6DEB">
      <w:pPr>
        <w:rPr>
          <w:sz w:val="22"/>
          <w:szCs w:val="22"/>
        </w:rPr>
      </w:pPr>
      <w:bookmarkStart w:id="0" w:name="_GoBack"/>
      <w:bookmarkEnd w:id="0"/>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9287"/>
      </w:tblGrid>
      <w:tr w:rsidR="00067CBE" w:rsidRPr="005822FD" w:rsidTr="00467711">
        <w:trPr>
          <w:trHeight w:hRule="exact" w:val="907"/>
        </w:trPr>
        <w:tc>
          <w:tcPr>
            <w:tcW w:w="9287" w:type="dxa"/>
            <w:hideMark/>
          </w:tcPr>
          <w:p w:rsidR="00CD6DEB" w:rsidRPr="005822FD" w:rsidRDefault="00352FE4" w:rsidP="00467711">
            <w:pPr>
              <w:overflowPunct w:val="0"/>
              <w:autoSpaceDE w:val="0"/>
              <w:autoSpaceDN w:val="0"/>
              <w:adjustRightInd w:val="0"/>
              <w:ind w:right="3542"/>
              <w:jc w:val="center"/>
              <w:rPr>
                <w:caps/>
                <w:sz w:val="22"/>
                <w:szCs w:val="22"/>
              </w:rPr>
            </w:pPr>
            <w:r w:rsidRPr="005822FD">
              <w:rPr>
                <w:caps/>
                <w:noProof/>
                <w:sz w:val="22"/>
                <w:szCs w:val="22"/>
              </w:rPr>
              <w:drawing>
                <wp:inline distT="0" distB="0" distL="0" distR="0">
                  <wp:extent cx="428625" cy="514350"/>
                  <wp:effectExtent l="19050" t="0" r="9525" b="0"/>
                  <wp:docPr id="6"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p>
        </w:tc>
      </w:tr>
    </w:tbl>
    <w:p w:rsidR="00CD6DEB" w:rsidRPr="005822FD" w:rsidRDefault="00352FE4" w:rsidP="00CD6DEB">
      <w:pPr>
        <w:ind w:right="3413"/>
        <w:jc w:val="center"/>
        <w:rPr>
          <w:caps/>
          <w:sz w:val="22"/>
          <w:szCs w:val="22"/>
        </w:rPr>
      </w:pPr>
      <w:r w:rsidRPr="005822FD">
        <w:rPr>
          <w:caps/>
          <w:sz w:val="22"/>
          <w:szCs w:val="22"/>
        </w:rPr>
        <w:t>Republika Hrvatska</w:t>
      </w:r>
    </w:p>
    <w:p w:rsidR="00CD6DEB" w:rsidRPr="005822FD" w:rsidRDefault="00352FE4" w:rsidP="00CD6DEB">
      <w:pPr>
        <w:ind w:right="3413"/>
        <w:jc w:val="center"/>
        <w:rPr>
          <w:sz w:val="22"/>
          <w:szCs w:val="22"/>
        </w:rPr>
      </w:pPr>
      <w:r w:rsidRPr="005822FD">
        <w:rPr>
          <w:caps/>
          <w:sz w:val="22"/>
          <w:szCs w:val="22"/>
        </w:rPr>
        <w:t>Grad Zagreb</w:t>
      </w:r>
    </w:p>
    <w:p w:rsidR="00CD6DEB" w:rsidRPr="005822FD" w:rsidRDefault="00352FE4" w:rsidP="00CD6DEB">
      <w:pPr>
        <w:ind w:right="3413"/>
        <w:jc w:val="center"/>
        <w:rPr>
          <w:b/>
          <w:sz w:val="22"/>
          <w:szCs w:val="22"/>
        </w:rPr>
      </w:pPr>
      <w:r w:rsidRPr="005822FD">
        <w:rPr>
          <w:b/>
          <w:sz w:val="22"/>
          <w:szCs w:val="22"/>
        </w:rPr>
        <w:t>GRADSKI URED ZA PROSTORNO UREĐENJE,  IZGRADNJU GRADA,  GRADITELJSTVO, KOMUNALNE POSLOVE I PROMET</w:t>
      </w:r>
    </w:p>
    <w:p w:rsidR="00C970C7" w:rsidRPr="005822FD" w:rsidRDefault="00352FE4" w:rsidP="00C970C7">
      <w:pPr>
        <w:ind w:right="3415"/>
        <w:jc w:val="center"/>
        <w:rPr>
          <w:sz w:val="22"/>
          <w:szCs w:val="22"/>
        </w:rPr>
      </w:pPr>
      <w:r w:rsidRPr="005822FD">
        <w:rPr>
          <w:noProof/>
          <w:sz w:val="22"/>
          <w:szCs w:val="22"/>
        </w:rPr>
        <w:t>Odjel za prostorno uređenje</w:t>
      </w:r>
      <w:r w:rsidRPr="005822FD">
        <w:rPr>
          <w:sz w:val="22"/>
          <w:szCs w:val="22"/>
        </w:rPr>
        <w:t xml:space="preserve"> </w:t>
      </w:r>
    </w:p>
    <w:p w:rsidR="00C970C7" w:rsidRPr="005822FD" w:rsidRDefault="00352FE4" w:rsidP="00C970C7">
      <w:pPr>
        <w:ind w:right="3415"/>
        <w:jc w:val="center"/>
        <w:rPr>
          <w:sz w:val="22"/>
          <w:szCs w:val="22"/>
        </w:rPr>
      </w:pPr>
      <w:r w:rsidRPr="005822FD">
        <w:rPr>
          <w:noProof/>
          <w:sz w:val="22"/>
          <w:szCs w:val="22"/>
        </w:rPr>
        <w:t>Središnji odsjek za prostorno uređenje</w:t>
      </w:r>
    </w:p>
    <w:p w:rsidR="00CD6DEB" w:rsidRPr="005822FD" w:rsidRDefault="00352FE4" w:rsidP="00C970C7">
      <w:pPr>
        <w:tabs>
          <w:tab w:val="left" w:pos="5670"/>
        </w:tabs>
        <w:ind w:right="3402"/>
        <w:jc w:val="center"/>
        <w:rPr>
          <w:sz w:val="22"/>
          <w:szCs w:val="22"/>
        </w:rPr>
      </w:pPr>
      <w:r w:rsidRPr="005822FD">
        <w:rPr>
          <w:noProof/>
          <w:sz w:val="22"/>
          <w:szCs w:val="22"/>
        </w:rPr>
        <w:t>Trg Stjepana Radića 1, Zagreb</w:t>
      </w:r>
    </w:p>
    <w:p w:rsidR="00CD6DEB" w:rsidRPr="005822FD" w:rsidRDefault="007D30EA" w:rsidP="00CD6DEB">
      <w:pPr>
        <w:rPr>
          <w:sz w:val="22"/>
          <w:szCs w:val="22"/>
        </w:rPr>
      </w:pPr>
    </w:p>
    <w:p w:rsidR="00C970C7" w:rsidRPr="005822FD" w:rsidRDefault="00352FE4" w:rsidP="00C970C7">
      <w:pPr>
        <w:tabs>
          <w:tab w:val="left" w:pos="432"/>
          <w:tab w:val="left" w:pos="864"/>
        </w:tabs>
        <w:rPr>
          <w:sz w:val="22"/>
          <w:szCs w:val="22"/>
        </w:rPr>
      </w:pPr>
      <w:r w:rsidRPr="005822FD">
        <w:rPr>
          <w:sz w:val="22"/>
          <w:szCs w:val="22"/>
        </w:rPr>
        <w:t xml:space="preserve">Klasa: </w:t>
      </w:r>
      <w:r w:rsidRPr="005822FD">
        <w:rPr>
          <w:noProof/>
          <w:sz w:val="22"/>
          <w:szCs w:val="22"/>
        </w:rPr>
        <w:t>UP/I-350-05/15-001/229</w:t>
      </w:r>
    </w:p>
    <w:p w:rsidR="00C970C7" w:rsidRPr="005822FD" w:rsidRDefault="00352FE4" w:rsidP="00C970C7">
      <w:pPr>
        <w:tabs>
          <w:tab w:val="left" w:pos="432"/>
          <w:tab w:val="left" w:pos="864"/>
        </w:tabs>
        <w:rPr>
          <w:sz w:val="22"/>
          <w:szCs w:val="22"/>
        </w:rPr>
      </w:pPr>
      <w:proofErr w:type="spellStart"/>
      <w:r w:rsidRPr="005822FD">
        <w:rPr>
          <w:sz w:val="22"/>
          <w:szCs w:val="22"/>
        </w:rPr>
        <w:t>Urbroj</w:t>
      </w:r>
      <w:proofErr w:type="spellEnd"/>
      <w:r w:rsidRPr="005822FD">
        <w:rPr>
          <w:sz w:val="22"/>
          <w:szCs w:val="22"/>
        </w:rPr>
        <w:t xml:space="preserve">: </w:t>
      </w:r>
      <w:r w:rsidR="00A00D32">
        <w:rPr>
          <w:sz w:val="22"/>
          <w:szCs w:val="22"/>
        </w:rPr>
        <w:t>251-13-21-1/032-16-6</w:t>
      </w:r>
    </w:p>
    <w:p w:rsidR="00CD60E5" w:rsidRPr="005822FD" w:rsidRDefault="00352FE4" w:rsidP="00C970C7">
      <w:pPr>
        <w:rPr>
          <w:noProof/>
          <w:sz w:val="22"/>
          <w:szCs w:val="22"/>
        </w:rPr>
      </w:pPr>
      <w:r w:rsidRPr="005822FD">
        <w:rPr>
          <w:sz w:val="22"/>
          <w:szCs w:val="22"/>
        </w:rPr>
        <w:t xml:space="preserve">Zagreb, </w:t>
      </w:r>
      <w:r w:rsidR="00A00D32">
        <w:rPr>
          <w:sz w:val="22"/>
          <w:szCs w:val="22"/>
        </w:rPr>
        <w:t>11.11.2016.</w:t>
      </w:r>
    </w:p>
    <w:p w:rsidR="005D49DB" w:rsidRPr="005822FD" w:rsidRDefault="005D49DB" w:rsidP="00C970C7">
      <w:pPr>
        <w:rPr>
          <w:sz w:val="22"/>
          <w:szCs w:val="22"/>
        </w:rPr>
      </w:pPr>
    </w:p>
    <w:p w:rsidR="005D49DB" w:rsidRPr="005822FD" w:rsidRDefault="005D49DB" w:rsidP="005D49DB">
      <w:pPr>
        <w:ind w:firstLine="720"/>
        <w:jc w:val="both"/>
        <w:rPr>
          <w:sz w:val="22"/>
          <w:szCs w:val="22"/>
        </w:rPr>
      </w:pPr>
      <w:r w:rsidRPr="005822FD">
        <w:rPr>
          <w:sz w:val="22"/>
          <w:szCs w:val="22"/>
        </w:rPr>
        <w:t>Gradski ured za prostorno uređenje, izgradnju Grada, graditeljstvo, komunalne poslove i promet, Odjel za prostorno uređenje, Središnji odsjek za prostorno uređenje, na temelju odredbe članka 141. st.2. Zakona o prostornom uređenju (Narodne novine br. 153/13) rješavaju</w:t>
      </w:r>
      <w:r w:rsidR="005822FD" w:rsidRPr="005822FD">
        <w:rPr>
          <w:sz w:val="22"/>
          <w:szCs w:val="22"/>
        </w:rPr>
        <w:t>ći po zahtjevu Grada Zagreba, Zagreb</w:t>
      </w:r>
      <w:r w:rsidRPr="005822FD">
        <w:rPr>
          <w:sz w:val="22"/>
          <w:szCs w:val="22"/>
        </w:rPr>
        <w:t xml:space="preserve">, Trg Stjepana Radića 1, zastupan po punomoćniku Alanu </w:t>
      </w:r>
      <w:proofErr w:type="spellStart"/>
      <w:r w:rsidRPr="005822FD">
        <w:rPr>
          <w:sz w:val="22"/>
          <w:szCs w:val="22"/>
        </w:rPr>
        <w:t>Ordulju</w:t>
      </w:r>
      <w:proofErr w:type="spellEnd"/>
      <w:r w:rsidRPr="005822FD">
        <w:rPr>
          <w:sz w:val="22"/>
          <w:szCs w:val="22"/>
        </w:rPr>
        <w:t>, dipl.ing.prom., u predmetu izdavanja lokacijske dozvole za rekonstrukciju ulice A.B.Šimića u Sesvetama s pripadajućom komunalnom infrastrukturom,</w:t>
      </w:r>
    </w:p>
    <w:p w:rsidR="005D49DB" w:rsidRPr="005822FD" w:rsidRDefault="005D49DB" w:rsidP="005D49DB">
      <w:pPr>
        <w:jc w:val="both"/>
        <w:rPr>
          <w:sz w:val="22"/>
          <w:szCs w:val="22"/>
        </w:rPr>
      </w:pPr>
      <w:r w:rsidRPr="005822FD">
        <w:rPr>
          <w:sz w:val="22"/>
          <w:szCs w:val="22"/>
        </w:rPr>
        <w:t xml:space="preserve">                                                                      </w:t>
      </w:r>
    </w:p>
    <w:p w:rsidR="005D49DB" w:rsidRPr="005822FD" w:rsidRDefault="005D49DB" w:rsidP="005D49DB">
      <w:pPr>
        <w:jc w:val="both"/>
        <w:rPr>
          <w:sz w:val="22"/>
          <w:szCs w:val="22"/>
        </w:rPr>
      </w:pPr>
    </w:p>
    <w:p w:rsidR="005D49DB" w:rsidRPr="00A00D32" w:rsidRDefault="005D49DB" w:rsidP="005D49DB">
      <w:pPr>
        <w:jc w:val="both"/>
        <w:rPr>
          <w:sz w:val="22"/>
          <w:szCs w:val="22"/>
        </w:rPr>
      </w:pPr>
      <w:r w:rsidRPr="005822FD">
        <w:rPr>
          <w:sz w:val="22"/>
          <w:szCs w:val="22"/>
        </w:rPr>
        <w:t xml:space="preserve">                                                                     </w:t>
      </w:r>
      <w:r w:rsidRPr="00A00D32">
        <w:rPr>
          <w:sz w:val="22"/>
          <w:szCs w:val="22"/>
        </w:rPr>
        <w:t>P O Z I V A</w:t>
      </w:r>
    </w:p>
    <w:p w:rsidR="005D49DB" w:rsidRPr="00A00D32" w:rsidRDefault="005D49DB" w:rsidP="005D49DB">
      <w:pPr>
        <w:jc w:val="both"/>
        <w:rPr>
          <w:sz w:val="22"/>
          <w:szCs w:val="22"/>
        </w:rPr>
      </w:pPr>
    </w:p>
    <w:p w:rsidR="005406CD" w:rsidRPr="00A00D32" w:rsidRDefault="005406CD" w:rsidP="005D49DB">
      <w:pPr>
        <w:jc w:val="both"/>
        <w:rPr>
          <w:sz w:val="22"/>
          <w:szCs w:val="22"/>
        </w:rPr>
      </w:pPr>
    </w:p>
    <w:p w:rsidR="005822FD" w:rsidRPr="00A00D32" w:rsidRDefault="005D49DB" w:rsidP="005406CD">
      <w:pPr>
        <w:ind w:firstLine="708"/>
        <w:jc w:val="both"/>
        <w:rPr>
          <w:sz w:val="22"/>
          <w:szCs w:val="22"/>
        </w:rPr>
      </w:pPr>
      <w:r w:rsidRPr="00A00D32">
        <w:rPr>
          <w:sz w:val="22"/>
          <w:szCs w:val="22"/>
        </w:rPr>
        <w:t xml:space="preserve">vlasnike i nositelje drugih stvarnih prava na nekretninama oznake k.č.br. </w:t>
      </w:r>
      <w:r w:rsidR="005406CD" w:rsidRPr="00A00D32">
        <w:rPr>
          <w:sz w:val="22"/>
          <w:szCs w:val="22"/>
        </w:rPr>
        <w:t xml:space="preserve">6698/1, 6698/15, 6698/21, 6698/16, 6698/17, 6698/22, 6698/14, 6698/24, 6698/10, 6698/23, 6698/26 i 6699/1 sve k.o. Sesvete, da </w:t>
      </w:r>
    </w:p>
    <w:p w:rsidR="005D49DB" w:rsidRPr="00A00D32" w:rsidRDefault="005D49DB" w:rsidP="005406CD">
      <w:pPr>
        <w:ind w:firstLine="708"/>
        <w:jc w:val="both"/>
        <w:rPr>
          <w:sz w:val="22"/>
          <w:szCs w:val="22"/>
        </w:rPr>
      </w:pPr>
      <w:r w:rsidRPr="00A00D32">
        <w:rPr>
          <w:sz w:val="22"/>
          <w:szCs w:val="22"/>
        </w:rPr>
        <w:t xml:space="preserve">na dan  </w:t>
      </w:r>
      <w:r w:rsidRPr="00A00D32">
        <w:rPr>
          <w:b/>
          <w:bCs/>
          <w:sz w:val="22"/>
          <w:szCs w:val="22"/>
        </w:rPr>
        <w:t>29. 11. 2016</w:t>
      </w:r>
      <w:r w:rsidRPr="00A00D32">
        <w:rPr>
          <w:sz w:val="22"/>
          <w:szCs w:val="22"/>
        </w:rPr>
        <w:t xml:space="preserve">., </w:t>
      </w:r>
      <w:r w:rsidRPr="00A00D32">
        <w:rPr>
          <w:b/>
          <w:bCs/>
          <w:sz w:val="22"/>
          <w:szCs w:val="22"/>
        </w:rPr>
        <w:t>u 9,30</w:t>
      </w:r>
      <w:r w:rsidRPr="00A00D32">
        <w:rPr>
          <w:sz w:val="22"/>
          <w:szCs w:val="22"/>
        </w:rPr>
        <w:t xml:space="preserve"> sati u zgradi Gradske uprave Grada Zagreba, Trg Stjepana Radića 1</w:t>
      </w:r>
      <w:r w:rsidRPr="00A00D32">
        <w:rPr>
          <w:b/>
          <w:bCs/>
          <w:sz w:val="22"/>
          <w:szCs w:val="22"/>
        </w:rPr>
        <w:t>, u sobi 121/I</w:t>
      </w:r>
      <w:r w:rsidRPr="00A00D32">
        <w:rPr>
          <w:sz w:val="22"/>
          <w:szCs w:val="22"/>
        </w:rPr>
        <w:t xml:space="preserve"> , izvrše uvid u spis predmeta i Idejni projekt oznake 530 LD od travnja 2015.godine, izrađen po ovlaštenom inženjeru građevinarstva Zlatku Brajdiću, dipl.ing.građ. te radi izjašnjenja na isti. </w:t>
      </w:r>
    </w:p>
    <w:p w:rsidR="005D49DB" w:rsidRPr="00A00D32" w:rsidRDefault="005D49DB" w:rsidP="005D49DB">
      <w:pPr>
        <w:jc w:val="both"/>
        <w:rPr>
          <w:sz w:val="22"/>
          <w:szCs w:val="22"/>
        </w:rPr>
      </w:pPr>
      <w:r w:rsidRPr="00A00D32">
        <w:rPr>
          <w:sz w:val="22"/>
          <w:szCs w:val="22"/>
        </w:rPr>
        <w:t xml:space="preserve">             Osoba koja se odazove ovom pozivu dužna je dokazati svojstvo stranke (potrebno je donijeti ispravu iz koje je razvidno da je nositelj prava vlasništva ili drugog stvarnog prava na nabrojanim nekretninama). Pozvani se pozivu mogu odazvati osobno ili putem opunomoćenika koji na uvid treba dostaviti i punomoć za zastupanje.</w:t>
      </w:r>
    </w:p>
    <w:p w:rsidR="005D49DB" w:rsidRPr="00A00D32" w:rsidRDefault="005D49DB" w:rsidP="005D49DB">
      <w:pPr>
        <w:jc w:val="both"/>
        <w:rPr>
          <w:sz w:val="22"/>
          <w:szCs w:val="22"/>
        </w:rPr>
      </w:pPr>
      <w:r w:rsidRPr="00A00D32">
        <w:rPr>
          <w:sz w:val="22"/>
          <w:szCs w:val="22"/>
        </w:rPr>
        <w:t xml:space="preserve">  </w:t>
      </w:r>
      <w:r w:rsidRPr="00A00D32">
        <w:rPr>
          <w:sz w:val="22"/>
          <w:szCs w:val="22"/>
        </w:rPr>
        <w:tab/>
        <w:t xml:space="preserve">Neodazivanje ovom pozivu ne sprječava </w:t>
      </w:r>
      <w:r w:rsidR="00A00D32" w:rsidRPr="00A00D32">
        <w:rPr>
          <w:sz w:val="22"/>
          <w:szCs w:val="22"/>
        </w:rPr>
        <w:t xml:space="preserve">izdavanje </w:t>
      </w:r>
      <w:r w:rsidR="005406CD" w:rsidRPr="00A00D32">
        <w:rPr>
          <w:sz w:val="22"/>
          <w:szCs w:val="22"/>
        </w:rPr>
        <w:t>lokacijske dozvole</w:t>
      </w:r>
      <w:r w:rsidRPr="00A00D32">
        <w:rPr>
          <w:sz w:val="22"/>
          <w:szCs w:val="22"/>
        </w:rPr>
        <w:t>, a istom će se smatrati da je stranci pružena mogućnost uvida u spis i očitovanja u svezi istog.</w:t>
      </w:r>
    </w:p>
    <w:p w:rsidR="005D49DB" w:rsidRPr="00A00D32" w:rsidRDefault="005D49DB" w:rsidP="005D49DB">
      <w:pPr>
        <w:jc w:val="both"/>
        <w:rPr>
          <w:sz w:val="22"/>
          <w:szCs w:val="22"/>
        </w:rPr>
      </w:pPr>
    </w:p>
    <w:p w:rsidR="005D49DB" w:rsidRPr="00A00D32" w:rsidRDefault="005D49DB" w:rsidP="005D49DB">
      <w:pPr>
        <w:jc w:val="both"/>
        <w:rPr>
          <w:sz w:val="22"/>
          <w:szCs w:val="22"/>
        </w:rPr>
      </w:pPr>
      <w:r w:rsidRPr="00A00D32">
        <w:rPr>
          <w:sz w:val="22"/>
          <w:szCs w:val="22"/>
        </w:rPr>
        <w:tab/>
      </w:r>
      <w:r w:rsidRPr="00A00D32">
        <w:rPr>
          <w:sz w:val="22"/>
          <w:szCs w:val="22"/>
        </w:rPr>
        <w:tab/>
      </w:r>
      <w:r w:rsidRPr="00A00D32">
        <w:rPr>
          <w:sz w:val="22"/>
          <w:szCs w:val="22"/>
        </w:rPr>
        <w:tab/>
      </w:r>
      <w:r w:rsidRPr="00A00D32">
        <w:rPr>
          <w:sz w:val="22"/>
          <w:szCs w:val="22"/>
        </w:rPr>
        <w:tab/>
      </w:r>
    </w:p>
    <w:p w:rsidR="005D49DB" w:rsidRPr="00A00D32" w:rsidRDefault="005D49DB" w:rsidP="005D49DB">
      <w:pPr>
        <w:jc w:val="right"/>
        <w:rPr>
          <w:sz w:val="22"/>
          <w:szCs w:val="22"/>
        </w:rPr>
      </w:pPr>
      <w:r w:rsidRPr="00A00D32">
        <w:rPr>
          <w:sz w:val="22"/>
          <w:szCs w:val="22"/>
        </w:rPr>
        <w:t xml:space="preserve">                                                                                                  Samostalni upravni referent</w:t>
      </w:r>
    </w:p>
    <w:p w:rsidR="005D49DB" w:rsidRPr="00A00D32" w:rsidRDefault="005D49DB" w:rsidP="005D49DB">
      <w:pPr>
        <w:jc w:val="right"/>
        <w:rPr>
          <w:sz w:val="22"/>
          <w:szCs w:val="22"/>
        </w:rPr>
      </w:pPr>
    </w:p>
    <w:p w:rsidR="005D49DB" w:rsidRPr="00A00D32" w:rsidRDefault="005D49DB" w:rsidP="005D49DB">
      <w:pPr>
        <w:jc w:val="right"/>
        <w:rPr>
          <w:sz w:val="22"/>
          <w:szCs w:val="22"/>
        </w:rPr>
      </w:pPr>
      <w:r w:rsidRPr="00A00D32">
        <w:rPr>
          <w:sz w:val="22"/>
          <w:szCs w:val="22"/>
        </w:rPr>
        <w:t xml:space="preserve">                                                                                                    Ana Staničić, dipl.ing.arh.</w:t>
      </w:r>
    </w:p>
    <w:p w:rsidR="005D49DB" w:rsidRPr="00A00D32" w:rsidRDefault="005D49DB" w:rsidP="005D49DB">
      <w:pPr>
        <w:jc w:val="both"/>
        <w:rPr>
          <w:sz w:val="22"/>
          <w:szCs w:val="22"/>
        </w:rPr>
      </w:pPr>
    </w:p>
    <w:p w:rsidR="005406CD" w:rsidRPr="00A00D32" w:rsidRDefault="005406CD" w:rsidP="005D49DB">
      <w:pPr>
        <w:jc w:val="both"/>
        <w:rPr>
          <w:sz w:val="22"/>
          <w:szCs w:val="22"/>
        </w:rPr>
      </w:pPr>
    </w:p>
    <w:p w:rsidR="005D49DB" w:rsidRPr="00A00D32" w:rsidRDefault="005D49DB" w:rsidP="005D49DB">
      <w:pPr>
        <w:jc w:val="both"/>
        <w:rPr>
          <w:sz w:val="22"/>
          <w:szCs w:val="22"/>
        </w:rPr>
      </w:pPr>
      <w:r w:rsidRPr="00A00D32">
        <w:rPr>
          <w:sz w:val="22"/>
          <w:szCs w:val="22"/>
        </w:rPr>
        <w:t>Dostaviti:</w:t>
      </w:r>
    </w:p>
    <w:p w:rsidR="005D49DB" w:rsidRPr="00A00D32" w:rsidRDefault="005D49DB" w:rsidP="005D49DB">
      <w:pPr>
        <w:widowControl w:val="0"/>
        <w:numPr>
          <w:ilvl w:val="0"/>
          <w:numId w:val="2"/>
        </w:numPr>
        <w:autoSpaceDE w:val="0"/>
        <w:autoSpaceDN w:val="0"/>
        <w:adjustRightInd w:val="0"/>
        <w:jc w:val="both"/>
        <w:rPr>
          <w:sz w:val="22"/>
          <w:szCs w:val="22"/>
        </w:rPr>
      </w:pPr>
      <w:r w:rsidRPr="00A00D32">
        <w:rPr>
          <w:sz w:val="22"/>
          <w:szCs w:val="22"/>
        </w:rPr>
        <w:t>Oglasna ploča – 8 dana, ovdje</w:t>
      </w:r>
    </w:p>
    <w:p w:rsidR="005D49DB" w:rsidRPr="00A00D32" w:rsidRDefault="005D49DB" w:rsidP="005D49DB">
      <w:pPr>
        <w:widowControl w:val="0"/>
        <w:numPr>
          <w:ilvl w:val="0"/>
          <w:numId w:val="2"/>
        </w:numPr>
        <w:autoSpaceDE w:val="0"/>
        <w:autoSpaceDN w:val="0"/>
        <w:adjustRightInd w:val="0"/>
        <w:jc w:val="both"/>
        <w:rPr>
          <w:sz w:val="22"/>
          <w:szCs w:val="22"/>
        </w:rPr>
      </w:pPr>
      <w:r w:rsidRPr="00A00D32">
        <w:rPr>
          <w:sz w:val="22"/>
          <w:szCs w:val="22"/>
        </w:rPr>
        <w:t>Mrežne stranice Grada Zagreba</w:t>
      </w:r>
    </w:p>
    <w:p w:rsidR="005D49DB" w:rsidRPr="00A00D32" w:rsidRDefault="005F6A65" w:rsidP="005D49DB">
      <w:pPr>
        <w:widowControl w:val="0"/>
        <w:numPr>
          <w:ilvl w:val="0"/>
          <w:numId w:val="2"/>
        </w:numPr>
        <w:autoSpaceDE w:val="0"/>
        <w:autoSpaceDN w:val="0"/>
        <w:adjustRightInd w:val="0"/>
        <w:jc w:val="both"/>
        <w:rPr>
          <w:sz w:val="22"/>
          <w:szCs w:val="22"/>
        </w:rPr>
      </w:pPr>
      <w:r w:rsidRPr="00A00D32">
        <w:rPr>
          <w:sz w:val="22"/>
          <w:szCs w:val="22"/>
        </w:rPr>
        <w:t>Građevna čestica</w:t>
      </w:r>
    </w:p>
    <w:p w:rsidR="005D49DB" w:rsidRPr="00A00D32" w:rsidRDefault="005D49DB" w:rsidP="005D49DB">
      <w:pPr>
        <w:widowControl w:val="0"/>
        <w:numPr>
          <w:ilvl w:val="0"/>
          <w:numId w:val="2"/>
        </w:numPr>
        <w:autoSpaceDE w:val="0"/>
        <w:autoSpaceDN w:val="0"/>
        <w:adjustRightInd w:val="0"/>
        <w:jc w:val="both"/>
        <w:rPr>
          <w:sz w:val="22"/>
          <w:szCs w:val="22"/>
        </w:rPr>
      </w:pPr>
      <w:r w:rsidRPr="00A00D32">
        <w:rPr>
          <w:sz w:val="22"/>
          <w:szCs w:val="22"/>
        </w:rPr>
        <w:t>Spis predmeta, ovdje</w:t>
      </w:r>
    </w:p>
    <w:p w:rsidR="005D49DB" w:rsidRPr="005D49DB" w:rsidRDefault="005D49DB" w:rsidP="005D49DB">
      <w:pPr>
        <w:ind w:firstLine="720"/>
        <w:jc w:val="both"/>
        <w:rPr>
          <w:sz w:val="22"/>
          <w:szCs w:val="22"/>
        </w:rPr>
      </w:pPr>
    </w:p>
    <w:sectPr w:rsidR="005D49DB" w:rsidRPr="005D49DB" w:rsidSect="00AE15F1">
      <w:headerReference w:type="default" r:id="rId9"/>
      <w:footerReference w:type="default" r:id="rId10"/>
      <w:pgSz w:w="11906" w:h="16838"/>
      <w:pgMar w:top="1417" w:right="1417" w:bottom="1417" w:left="1417" w:header="400"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FE4" w:rsidRDefault="00352FE4">
      <w:r>
        <w:separator/>
      </w:r>
    </w:p>
  </w:endnote>
  <w:endnote w:type="continuationSeparator" w:id="0">
    <w:p w:rsidR="00352FE4" w:rsidRDefault="0035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BE" w:rsidRDefault="00352FE4">
    <w:pPr>
      <w:jc w:val="center"/>
    </w:pPr>
    <w:r>
      <w:fldChar w:fldCharType="begin"/>
    </w:r>
    <w:r>
      <w:instrText>PAGE</w:instrText>
    </w:r>
    <w:r>
      <w:fldChar w:fldCharType="separate"/>
    </w:r>
    <w:r w:rsidR="005406C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FE4" w:rsidRDefault="00352FE4">
      <w:r>
        <w:separator/>
      </w:r>
    </w:p>
  </w:footnote>
  <w:footnote w:type="continuationSeparator" w:id="0">
    <w:p w:rsidR="00352FE4" w:rsidRDefault="00352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BE" w:rsidRDefault="00352FE4">
    <w:pPr>
      <w:jc w:val="right"/>
    </w:pPr>
    <w:r>
      <w:t>UP/I-350-05/15-001/229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E70D7"/>
    <w:multiLevelType w:val="hybridMultilevel"/>
    <w:tmpl w:val="F6DC0AE0"/>
    <w:lvl w:ilvl="0" w:tplc="54907D5E">
      <w:start w:val="1"/>
      <w:numFmt w:val="decimal"/>
      <w:lvlText w:val="%1."/>
      <w:lvlJc w:val="left"/>
      <w:pPr>
        <w:tabs>
          <w:tab w:val="num" w:pos="720"/>
        </w:tabs>
        <w:ind w:left="720" w:hanging="360"/>
      </w:pPr>
      <w:rPr>
        <w:rFonts w:hint="default"/>
        <w:i w:val="0"/>
      </w:rPr>
    </w:lvl>
    <w:lvl w:ilvl="1" w:tplc="08CCE9DC" w:tentative="1">
      <w:start w:val="1"/>
      <w:numFmt w:val="lowerLetter"/>
      <w:lvlText w:val="%2."/>
      <w:lvlJc w:val="left"/>
      <w:pPr>
        <w:tabs>
          <w:tab w:val="num" w:pos="1440"/>
        </w:tabs>
        <w:ind w:left="1440" w:hanging="360"/>
      </w:pPr>
    </w:lvl>
    <w:lvl w:ilvl="2" w:tplc="3E328D4E" w:tentative="1">
      <w:start w:val="1"/>
      <w:numFmt w:val="lowerRoman"/>
      <w:lvlText w:val="%3."/>
      <w:lvlJc w:val="right"/>
      <w:pPr>
        <w:tabs>
          <w:tab w:val="num" w:pos="2160"/>
        </w:tabs>
        <w:ind w:left="2160" w:hanging="180"/>
      </w:pPr>
    </w:lvl>
    <w:lvl w:ilvl="3" w:tplc="78F0EB46" w:tentative="1">
      <w:start w:val="1"/>
      <w:numFmt w:val="decimal"/>
      <w:lvlText w:val="%4."/>
      <w:lvlJc w:val="left"/>
      <w:pPr>
        <w:tabs>
          <w:tab w:val="num" w:pos="2880"/>
        </w:tabs>
        <w:ind w:left="2880" w:hanging="360"/>
      </w:pPr>
    </w:lvl>
    <w:lvl w:ilvl="4" w:tplc="A2D4149A" w:tentative="1">
      <w:start w:val="1"/>
      <w:numFmt w:val="lowerLetter"/>
      <w:lvlText w:val="%5."/>
      <w:lvlJc w:val="left"/>
      <w:pPr>
        <w:tabs>
          <w:tab w:val="num" w:pos="3600"/>
        </w:tabs>
        <w:ind w:left="3600" w:hanging="360"/>
      </w:pPr>
    </w:lvl>
    <w:lvl w:ilvl="5" w:tplc="D518A8C4" w:tentative="1">
      <w:start w:val="1"/>
      <w:numFmt w:val="lowerRoman"/>
      <w:lvlText w:val="%6."/>
      <w:lvlJc w:val="right"/>
      <w:pPr>
        <w:tabs>
          <w:tab w:val="num" w:pos="4320"/>
        </w:tabs>
        <w:ind w:left="4320" w:hanging="180"/>
      </w:pPr>
    </w:lvl>
    <w:lvl w:ilvl="6" w:tplc="023C3774" w:tentative="1">
      <w:start w:val="1"/>
      <w:numFmt w:val="decimal"/>
      <w:lvlText w:val="%7."/>
      <w:lvlJc w:val="left"/>
      <w:pPr>
        <w:tabs>
          <w:tab w:val="num" w:pos="5040"/>
        </w:tabs>
        <w:ind w:left="5040" w:hanging="360"/>
      </w:pPr>
    </w:lvl>
    <w:lvl w:ilvl="7" w:tplc="EF44C3A4" w:tentative="1">
      <w:start w:val="1"/>
      <w:numFmt w:val="lowerLetter"/>
      <w:lvlText w:val="%8."/>
      <w:lvlJc w:val="left"/>
      <w:pPr>
        <w:tabs>
          <w:tab w:val="num" w:pos="5760"/>
        </w:tabs>
        <w:ind w:left="5760" w:hanging="360"/>
      </w:pPr>
    </w:lvl>
    <w:lvl w:ilvl="8" w:tplc="FB72E5CC" w:tentative="1">
      <w:start w:val="1"/>
      <w:numFmt w:val="lowerRoman"/>
      <w:lvlText w:val="%9."/>
      <w:lvlJc w:val="right"/>
      <w:pPr>
        <w:tabs>
          <w:tab w:val="num" w:pos="6480"/>
        </w:tabs>
        <w:ind w:left="6480" w:hanging="180"/>
      </w:pPr>
    </w:lvl>
  </w:abstractNum>
  <w:abstractNum w:abstractNumId="1">
    <w:nsid w:val="4725123F"/>
    <w:multiLevelType w:val="multilevel"/>
    <w:tmpl w:val="FFFFFFFF"/>
    <w:lvl w:ilvl="0">
      <w:start w:val="1"/>
      <w:numFmt w:val="decimal"/>
      <w:lvlText w:val="%1."/>
      <w:lvlJc w:val="left"/>
      <w:pPr>
        <w:ind w:left="720" w:hanging="360"/>
      </w:pPr>
      <w:rPr>
        <w:rFonts w:ascii="Calibri" w:hAnsi="Calibri" w:cs="Calibri"/>
        <w:color w:val="000000"/>
      </w:rPr>
    </w:lvl>
    <w:lvl w:ilvl="1">
      <w:start w:val="1"/>
      <w:numFmt w:val="decimal"/>
      <w:lvlText w:val="%2."/>
      <w:lvlJc w:val="left"/>
      <w:pPr>
        <w:ind w:left="1440" w:hanging="360"/>
      </w:pPr>
      <w:rPr>
        <w:rFonts w:ascii="Calibri" w:hAnsi="Calibri" w:cs="Calibri"/>
        <w:color w:val="000000"/>
      </w:rPr>
    </w:lvl>
    <w:lvl w:ilvl="2">
      <w:start w:val="1"/>
      <w:numFmt w:val="decimal"/>
      <w:lvlText w:val="%3."/>
      <w:lvlJc w:val="left"/>
      <w:pPr>
        <w:ind w:left="2160" w:hanging="360"/>
      </w:pPr>
      <w:rPr>
        <w:rFonts w:ascii="Calibri" w:hAnsi="Calibri" w:cs="Calibri"/>
        <w:color w:val="000000"/>
      </w:rPr>
    </w:lvl>
    <w:lvl w:ilvl="3">
      <w:start w:val="1"/>
      <w:numFmt w:val="decimal"/>
      <w:lvlText w:val="%4."/>
      <w:lvlJc w:val="left"/>
      <w:pPr>
        <w:ind w:left="2880" w:hanging="360"/>
      </w:pPr>
      <w:rPr>
        <w:rFonts w:ascii="Calibri" w:hAnsi="Calibri" w:cs="Calibri"/>
        <w:color w:val="000000"/>
      </w:rPr>
    </w:lvl>
    <w:lvl w:ilvl="4">
      <w:start w:val="1"/>
      <w:numFmt w:val="decimal"/>
      <w:lvlText w:val="%5."/>
      <w:lvlJc w:val="left"/>
      <w:pPr>
        <w:ind w:left="3600" w:hanging="360"/>
      </w:pPr>
      <w:rPr>
        <w:rFonts w:ascii="Calibri" w:hAnsi="Calibri" w:cs="Calibri"/>
        <w:color w:val="000000"/>
      </w:rPr>
    </w:lvl>
    <w:lvl w:ilvl="5">
      <w:start w:val="1"/>
      <w:numFmt w:val="decimal"/>
      <w:lvlText w:val="%6."/>
      <w:lvlJc w:val="left"/>
      <w:pPr>
        <w:ind w:left="4320" w:hanging="360"/>
      </w:pPr>
      <w:rPr>
        <w:rFonts w:ascii="Calibri" w:hAnsi="Calibri" w:cs="Calibri"/>
        <w:color w:val="000000"/>
      </w:rPr>
    </w:lvl>
    <w:lvl w:ilvl="6">
      <w:start w:val="1"/>
      <w:numFmt w:val="decimal"/>
      <w:lvlText w:val="%7."/>
      <w:lvlJc w:val="left"/>
      <w:pPr>
        <w:ind w:left="5040" w:hanging="360"/>
      </w:pPr>
      <w:rPr>
        <w:rFonts w:ascii="Calibri" w:hAnsi="Calibri" w:cs="Calibri"/>
        <w:color w:val="000000"/>
      </w:rPr>
    </w:lvl>
    <w:lvl w:ilvl="7">
      <w:start w:val="1"/>
      <w:numFmt w:val="decimal"/>
      <w:lvlText w:val="%8."/>
      <w:lvlJc w:val="left"/>
      <w:pPr>
        <w:ind w:left="5760" w:hanging="360"/>
      </w:pPr>
      <w:rPr>
        <w:rFonts w:ascii="Calibri" w:hAnsi="Calibri" w:cs="Calibri"/>
        <w:color w:val="000000"/>
      </w:rPr>
    </w:lvl>
    <w:lvl w:ilvl="8">
      <w:start w:val="1"/>
      <w:numFmt w:val="decimal"/>
      <w:lvlText w:val="%9."/>
      <w:lvlJc w:val="left"/>
      <w:pPr>
        <w:ind w:left="6480" w:hanging="360"/>
      </w:pPr>
      <w:rPr>
        <w:rFonts w:ascii="Calibri" w:hAnsi="Calibri" w:cs="Calibri"/>
        <w:color w:val="00000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BE"/>
    <w:rsid w:val="00067CBE"/>
    <w:rsid w:val="00352FE4"/>
    <w:rsid w:val="005406CD"/>
    <w:rsid w:val="005822FD"/>
    <w:rsid w:val="005D49DB"/>
    <w:rsid w:val="005F6A65"/>
    <w:rsid w:val="007D30EA"/>
    <w:rsid w:val="00A00D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2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03297"/>
    <w:rPr>
      <w:rFonts w:ascii="Courier New" w:hAnsi="Courier New" w:cs="Courier New"/>
      <w:sz w:val="20"/>
      <w:szCs w:val="20"/>
    </w:rPr>
  </w:style>
  <w:style w:type="table" w:styleId="TableGrid">
    <w:name w:val="Table Grid"/>
    <w:basedOn w:val="TableNormal"/>
    <w:uiPriority w:val="59"/>
    <w:rsid w:val="00CD6D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CD6DEB"/>
    <w:rPr>
      <w:rFonts w:ascii="Tahoma" w:hAnsi="Tahoma" w:cs="Tahoma"/>
      <w:sz w:val="16"/>
      <w:szCs w:val="16"/>
    </w:rPr>
  </w:style>
  <w:style w:type="character" w:customStyle="1" w:styleId="BalloonTextChar">
    <w:name w:val="Balloon Text Char"/>
    <w:basedOn w:val="DefaultParagraphFont"/>
    <w:link w:val="BalloonText"/>
    <w:rsid w:val="00CD6D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2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03297"/>
    <w:rPr>
      <w:rFonts w:ascii="Courier New" w:hAnsi="Courier New" w:cs="Courier New"/>
      <w:sz w:val="20"/>
      <w:szCs w:val="20"/>
    </w:rPr>
  </w:style>
  <w:style w:type="table" w:styleId="TableGrid">
    <w:name w:val="Table Grid"/>
    <w:basedOn w:val="TableNormal"/>
    <w:uiPriority w:val="59"/>
    <w:rsid w:val="00CD6D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CD6DEB"/>
    <w:rPr>
      <w:rFonts w:ascii="Tahoma" w:hAnsi="Tahoma" w:cs="Tahoma"/>
      <w:sz w:val="16"/>
      <w:szCs w:val="16"/>
    </w:rPr>
  </w:style>
  <w:style w:type="character" w:customStyle="1" w:styleId="BalloonTextChar">
    <w:name w:val="Balloon Text Char"/>
    <w:basedOn w:val="DefaultParagraphFont"/>
    <w:link w:val="BalloonText"/>
    <w:rsid w:val="00CD6D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akacic</dc:creator>
  <cp:lastModifiedBy>Vera Vila</cp:lastModifiedBy>
  <cp:revision>2</cp:revision>
  <cp:lastPrinted>2016-11-11T12:08:00Z</cp:lastPrinted>
  <dcterms:created xsi:type="dcterms:W3CDTF">2016-11-11T12:09:00Z</dcterms:created>
  <dcterms:modified xsi:type="dcterms:W3CDTF">2016-11-11T12:09:00Z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ZVOLA_ID">
    <vt:lpwstr>348962</vt:lpwstr>
  </property>
  <property fmtid="{D5CDD505-2E9C-101B-9397-08002B2CF9AE}" pid="3" name="INTERNI_BROJ">
    <vt:lpwstr>D128FEA9E9E405B517ABC173329E6309</vt:lpwstr>
  </property>
  <property fmtid="{D5CDD505-2E9C-101B-9397-08002B2CF9AE}" pid="4" name="PREDLOZAK_ID">
    <vt:lpwstr>149</vt:lpwstr>
  </property>
  <property fmtid="{D5CDD505-2E9C-101B-9397-08002B2CF9AE}" pid="5" name="USERNAME">
    <vt:lpwstr>astanicic</vt:lpwstr>
  </property>
  <property fmtid="{D5CDD505-2E9C-101B-9397-08002B2CF9AE}" pid="6" name="DOKUMENT_ID">
    <vt:lpwstr>2028899</vt:lpwstr>
  </property>
  <property fmtid="{D5CDD505-2E9C-101B-9397-08002B2CF9AE}" pid="7" name="DOKUMENT_UR_BROJ">
    <vt:lpwstr>251-13-21-1/032-16-6</vt:lpwstr>
  </property>
</Properties>
</file>