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720"/>
        <w:gridCol w:w="1799"/>
        <w:gridCol w:w="1629"/>
        <w:gridCol w:w="3625"/>
        <w:gridCol w:w="2487"/>
        <w:gridCol w:w="50"/>
      </w:tblGrid>
      <w:tr w:rsidR="00CD1075" w:rsidRPr="00CD1075" w:rsidTr="00B176CD">
        <w:trPr>
          <w:gridAfter w:val="1"/>
          <w:wAfter w:w="50" w:type="dxa"/>
          <w:trHeight w:val="817"/>
        </w:trPr>
        <w:tc>
          <w:tcPr>
            <w:tcW w:w="10260" w:type="dxa"/>
            <w:gridSpan w:val="5"/>
            <w:shd w:val="clear" w:color="auto" w:fill="auto"/>
          </w:tcPr>
          <w:p w:rsidR="00FA36D7" w:rsidRPr="00CD1075" w:rsidRDefault="00FA36D7" w:rsidP="00FB4938">
            <w:pPr>
              <w:tabs>
                <w:tab w:val="left" w:pos="3832"/>
              </w:tabs>
              <w:jc w:val="center"/>
              <w:rPr>
                <w:b/>
              </w:rPr>
            </w:pPr>
            <w:r w:rsidRPr="00CD1075">
              <w:rPr>
                <w:b/>
              </w:rPr>
              <w:t>OBRAZAC</w:t>
            </w:r>
          </w:p>
          <w:p w:rsidR="00FA36D7" w:rsidRPr="00CD1075" w:rsidRDefault="00FA36D7" w:rsidP="00FB4938">
            <w:pPr>
              <w:jc w:val="center"/>
              <w:rPr>
                <w:b/>
              </w:rPr>
            </w:pPr>
            <w:r w:rsidRPr="00CD1075">
              <w:rPr>
                <w:b/>
              </w:rPr>
              <w:t>izvješća o provedenom savjetovanju s javnošću</w:t>
            </w:r>
          </w:p>
          <w:p w:rsidR="00FA36D7" w:rsidRPr="00CD1075" w:rsidRDefault="00FA36D7" w:rsidP="00FB4938"/>
        </w:tc>
      </w:tr>
      <w:tr w:rsidR="00CD1075" w:rsidRPr="00CD1075" w:rsidTr="00596DF8">
        <w:trPr>
          <w:gridAfter w:val="1"/>
          <w:wAfter w:w="50" w:type="dxa"/>
          <w:trHeight w:val="500"/>
        </w:trPr>
        <w:tc>
          <w:tcPr>
            <w:tcW w:w="4148" w:type="dxa"/>
            <w:gridSpan w:val="3"/>
            <w:tcBorders>
              <w:right w:val="single" w:sz="4" w:space="0" w:color="auto"/>
            </w:tcBorders>
            <w:shd w:val="clear" w:color="auto" w:fill="auto"/>
            <w:vAlign w:val="center"/>
          </w:tcPr>
          <w:p w:rsidR="00FA36D7" w:rsidRPr="00CD1075" w:rsidRDefault="00FA36D7" w:rsidP="00FB4938">
            <w:pPr>
              <w:rPr>
                <w:b/>
              </w:rPr>
            </w:pPr>
            <w:r w:rsidRPr="00CD1075">
              <w:rPr>
                <w:b/>
              </w:rPr>
              <w:t xml:space="preserve">Naziv nacrta odluke ili drugog općeg akta o kojem je savjetovanje provedeno </w:t>
            </w:r>
          </w:p>
        </w:tc>
        <w:tc>
          <w:tcPr>
            <w:tcW w:w="6112" w:type="dxa"/>
            <w:gridSpan w:val="2"/>
            <w:tcBorders>
              <w:left w:val="single" w:sz="4" w:space="0" w:color="auto"/>
            </w:tcBorders>
            <w:shd w:val="clear" w:color="auto" w:fill="auto"/>
            <w:vAlign w:val="center"/>
          </w:tcPr>
          <w:p w:rsidR="00FA36D7" w:rsidRPr="00CD1075" w:rsidRDefault="00FA36D7" w:rsidP="00FB4938">
            <w:r w:rsidRPr="00CD1075">
              <w:t>Nacrt prijedloga Plana promicanja zdravlja, prevencije i ranog otkrivanja bolesti u Gradu Zagrebu za razdoblje od 2019. – 2021.</w:t>
            </w:r>
          </w:p>
        </w:tc>
      </w:tr>
      <w:tr w:rsidR="00CD1075" w:rsidRPr="00CD1075" w:rsidTr="00596DF8">
        <w:trPr>
          <w:gridAfter w:val="1"/>
          <w:wAfter w:w="50" w:type="dxa"/>
          <w:trHeight w:val="932"/>
        </w:trPr>
        <w:tc>
          <w:tcPr>
            <w:tcW w:w="4148" w:type="dxa"/>
            <w:gridSpan w:val="3"/>
            <w:tcBorders>
              <w:right w:val="single" w:sz="4" w:space="0" w:color="auto"/>
            </w:tcBorders>
            <w:shd w:val="clear" w:color="auto" w:fill="auto"/>
            <w:vAlign w:val="center"/>
          </w:tcPr>
          <w:p w:rsidR="00FA36D7" w:rsidRPr="00CD1075" w:rsidRDefault="00FA36D7" w:rsidP="00FB4938">
            <w:pPr>
              <w:rPr>
                <w:b/>
              </w:rPr>
            </w:pPr>
            <w:r w:rsidRPr="00CD1075">
              <w:rPr>
                <w:b/>
              </w:rPr>
              <w:t>Nositelj izrade nacrta akta (gradsko upravno tijelo koje je provelo savjetovanje)</w:t>
            </w:r>
          </w:p>
        </w:tc>
        <w:tc>
          <w:tcPr>
            <w:tcW w:w="6112" w:type="dxa"/>
            <w:gridSpan w:val="2"/>
            <w:tcBorders>
              <w:left w:val="single" w:sz="4" w:space="0" w:color="auto"/>
            </w:tcBorders>
            <w:shd w:val="clear" w:color="auto" w:fill="auto"/>
            <w:vAlign w:val="center"/>
          </w:tcPr>
          <w:p w:rsidR="00FA36D7" w:rsidRPr="00CD1075" w:rsidRDefault="00FA36D7" w:rsidP="00FB4938">
            <w:pPr>
              <w:jc w:val="both"/>
              <w:rPr>
                <w:rFonts w:eastAsia="Calibri"/>
                <w:lang w:eastAsia="en-US"/>
              </w:rPr>
            </w:pPr>
            <w:r w:rsidRPr="00CD1075">
              <w:rPr>
                <w:rFonts w:eastAsia="Calibri"/>
                <w:lang w:eastAsia="en-US"/>
              </w:rPr>
              <w:t>Gradski ured za zdravstvo</w:t>
            </w:r>
          </w:p>
          <w:p w:rsidR="00FA36D7" w:rsidRPr="00CD1075" w:rsidRDefault="00FA36D7" w:rsidP="00FB4938">
            <w:pPr>
              <w:jc w:val="both"/>
              <w:rPr>
                <w:rFonts w:eastAsia="Calibri"/>
                <w:lang w:eastAsia="en-US"/>
              </w:rPr>
            </w:pPr>
          </w:p>
          <w:p w:rsidR="00FA36D7" w:rsidRPr="00CD1075" w:rsidRDefault="00FA36D7" w:rsidP="00FB4938">
            <w:pPr>
              <w:jc w:val="both"/>
              <w:rPr>
                <w:rFonts w:eastAsia="Calibri"/>
                <w:lang w:eastAsia="en-US"/>
              </w:rPr>
            </w:pPr>
            <w:r w:rsidRPr="00CD1075">
              <w:rPr>
                <w:rFonts w:eastAsia="Calibri"/>
                <w:lang w:eastAsia="en-US"/>
              </w:rPr>
              <w:t>Savjet za zdravlje Grada Zagreba</w:t>
            </w:r>
          </w:p>
          <w:p w:rsidR="00FA36D7" w:rsidRPr="00CD1075" w:rsidRDefault="00FA36D7" w:rsidP="00FB4938">
            <w:pPr>
              <w:jc w:val="both"/>
            </w:pPr>
          </w:p>
        </w:tc>
      </w:tr>
      <w:tr w:rsidR="00CD1075" w:rsidRPr="00CD1075" w:rsidTr="00596DF8">
        <w:trPr>
          <w:gridAfter w:val="1"/>
          <w:wAfter w:w="50" w:type="dxa"/>
          <w:trHeight w:val="561"/>
        </w:trPr>
        <w:tc>
          <w:tcPr>
            <w:tcW w:w="4148" w:type="dxa"/>
            <w:gridSpan w:val="3"/>
            <w:tcBorders>
              <w:right w:val="single" w:sz="4" w:space="0" w:color="auto"/>
            </w:tcBorders>
            <w:shd w:val="clear" w:color="auto" w:fill="auto"/>
            <w:vAlign w:val="center"/>
          </w:tcPr>
          <w:p w:rsidR="00FA36D7" w:rsidRPr="00CD1075" w:rsidRDefault="00FA36D7" w:rsidP="00FB4938">
            <w:pPr>
              <w:jc w:val="both"/>
              <w:rPr>
                <w:b/>
              </w:rPr>
            </w:pPr>
            <w:r w:rsidRPr="00CD1075">
              <w:rPr>
                <w:b/>
              </w:rPr>
              <w:t>Vrijeme trajanja savjetovanja</w:t>
            </w:r>
          </w:p>
        </w:tc>
        <w:tc>
          <w:tcPr>
            <w:tcW w:w="6112" w:type="dxa"/>
            <w:gridSpan w:val="2"/>
            <w:tcBorders>
              <w:left w:val="single" w:sz="4" w:space="0" w:color="auto"/>
            </w:tcBorders>
            <w:shd w:val="clear" w:color="auto" w:fill="auto"/>
            <w:vAlign w:val="center"/>
          </w:tcPr>
          <w:p w:rsidR="00FA36D7" w:rsidRPr="00CD1075" w:rsidRDefault="00FA36D7" w:rsidP="00FB4938">
            <w:pPr>
              <w:jc w:val="both"/>
              <w:rPr>
                <w:b/>
              </w:rPr>
            </w:pPr>
            <w:r w:rsidRPr="00CD1075">
              <w:rPr>
                <w:b/>
              </w:rPr>
              <w:t>10. 10. 2018. – 10. 11. 2018</w:t>
            </w:r>
          </w:p>
        </w:tc>
      </w:tr>
      <w:tr w:rsidR="00CD1075" w:rsidRPr="00CD1075" w:rsidTr="00596DF8">
        <w:trPr>
          <w:gridAfter w:val="1"/>
          <w:wAfter w:w="50" w:type="dxa"/>
          <w:trHeight w:val="561"/>
        </w:trPr>
        <w:tc>
          <w:tcPr>
            <w:tcW w:w="4148" w:type="dxa"/>
            <w:gridSpan w:val="3"/>
            <w:tcBorders>
              <w:right w:val="single" w:sz="4" w:space="0" w:color="auto"/>
            </w:tcBorders>
            <w:shd w:val="clear" w:color="auto" w:fill="auto"/>
            <w:vAlign w:val="center"/>
          </w:tcPr>
          <w:p w:rsidR="00FA36D7" w:rsidRPr="00CD1075" w:rsidRDefault="00FA36D7" w:rsidP="00FB4938">
            <w:pPr>
              <w:jc w:val="both"/>
              <w:rPr>
                <w:b/>
              </w:rPr>
            </w:pPr>
            <w:r w:rsidRPr="00CD1075">
              <w:rPr>
                <w:b/>
              </w:rPr>
              <w:t xml:space="preserve">Metoda savjetovanja </w:t>
            </w:r>
          </w:p>
        </w:tc>
        <w:tc>
          <w:tcPr>
            <w:tcW w:w="6112" w:type="dxa"/>
            <w:gridSpan w:val="2"/>
            <w:tcBorders>
              <w:left w:val="single" w:sz="4" w:space="0" w:color="auto"/>
            </w:tcBorders>
            <w:shd w:val="clear" w:color="auto" w:fill="auto"/>
            <w:vAlign w:val="center"/>
          </w:tcPr>
          <w:p w:rsidR="00FA36D7" w:rsidRPr="00CD1075" w:rsidRDefault="00FA36D7" w:rsidP="00FB4938">
            <w:pPr>
              <w:jc w:val="both"/>
              <w:rPr>
                <w:b/>
              </w:rPr>
            </w:pPr>
            <w:r w:rsidRPr="00CD1075">
              <w:rPr>
                <w:b/>
              </w:rPr>
              <w:t>Internetsko savjetovanje</w:t>
            </w:r>
          </w:p>
        </w:tc>
      </w:tr>
      <w:tr w:rsidR="00CD1075" w:rsidRPr="00CD1075" w:rsidTr="00596DF8">
        <w:tblPrEx>
          <w:tblBorders>
            <w:top w:val="single" w:sz="4" w:space="0" w:color="auto"/>
            <w:left w:val="single" w:sz="4" w:space="0" w:color="auto"/>
            <w:bottom w:val="single" w:sz="4" w:space="0" w:color="auto"/>
            <w:right w:val="single" w:sz="4" w:space="0" w:color="auto"/>
            <w:insideV w:val="single" w:sz="4" w:space="0" w:color="auto"/>
          </w:tblBorders>
        </w:tblPrEx>
        <w:tc>
          <w:tcPr>
            <w:tcW w:w="720" w:type="dxa"/>
            <w:tcBorders>
              <w:top w:val="thinThickSmallGap" w:sz="24" w:space="0" w:color="auto"/>
              <w:left w:val="thinThickSmallGap" w:sz="24" w:space="0" w:color="auto"/>
            </w:tcBorders>
            <w:shd w:val="clear" w:color="auto" w:fill="auto"/>
            <w:vAlign w:val="center"/>
          </w:tcPr>
          <w:p w:rsidR="00B176CD" w:rsidRPr="00CD1075" w:rsidRDefault="00B176CD" w:rsidP="00944E2D">
            <w:pPr>
              <w:jc w:val="center"/>
            </w:pPr>
            <w:r w:rsidRPr="00CD1075">
              <w:t>Red. br.</w:t>
            </w:r>
          </w:p>
        </w:tc>
        <w:tc>
          <w:tcPr>
            <w:tcW w:w="1799" w:type="dxa"/>
            <w:tcBorders>
              <w:top w:val="thinThickSmallGap" w:sz="24" w:space="0" w:color="auto"/>
            </w:tcBorders>
            <w:shd w:val="clear" w:color="auto" w:fill="auto"/>
            <w:vAlign w:val="center"/>
          </w:tcPr>
          <w:p w:rsidR="00B176CD" w:rsidRPr="00CD1075" w:rsidRDefault="00B176CD" w:rsidP="00944E2D">
            <w:pPr>
              <w:jc w:val="center"/>
            </w:pPr>
            <w:r w:rsidRPr="00CD1075">
              <w:t>Predstavnici  javnosti (pojedinac, organizacija, institucija)</w:t>
            </w:r>
          </w:p>
        </w:tc>
        <w:tc>
          <w:tcPr>
            <w:tcW w:w="1629" w:type="dxa"/>
            <w:tcBorders>
              <w:top w:val="thinThickSmallGap" w:sz="24" w:space="0" w:color="auto"/>
            </w:tcBorders>
            <w:shd w:val="clear" w:color="auto" w:fill="auto"/>
            <w:vAlign w:val="center"/>
          </w:tcPr>
          <w:p w:rsidR="00B176CD" w:rsidRPr="00CD1075" w:rsidRDefault="00B176CD" w:rsidP="00944E2D">
            <w:r w:rsidRPr="00CD1075">
              <w:t>Članak na koji se odnosi primjedba/</w:t>
            </w:r>
          </w:p>
          <w:p w:rsidR="00B176CD" w:rsidRPr="00CD1075" w:rsidRDefault="00B176CD" w:rsidP="00944E2D">
            <w:r w:rsidRPr="00CD1075">
              <w:t>prijedlog</w:t>
            </w:r>
          </w:p>
        </w:tc>
        <w:tc>
          <w:tcPr>
            <w:tcW w:w="3625" w:type="dxa"/>
            <w:tcBorders>
              <w:top w:val="thinThickSmallGap" w:sz="24" w:space="0" w:color="auto"/>
            </w:tcBorders>
            <w:shd w:val="clear" w:color="auto" w:fill="auto"/>
            <w:vAlign w:val="center"/>
          </w:tcPr>
          <w:p w:rsidR="00B176CD" w:rsidRPr="00CD1075" w:rsidRDefault="00B176CD" w:rsidP="00944E2D">
            <w:pPr>
              <w:jc w:val="center"/>
            </w:pPr>
            <w:r w:rsidRPr="00CD1075">
              <w:t>Tekst primjedbe/</w:t>
            </w:r>
          </w:p>
          <w:p w:rsidR="00B176CD" w:rsidRPr="00CD1075" w:rsidRDefault="00B176CD" w:rsidP="00944E2D">
            <w:pPr>
              <w:jc w:val="center"/>
            </w:pPr>
            <w:r w:rsidRPr="00CD1075">
              <w:t>prijedloga</w:t>
            </w:r>
          </w:p>
        </w:tc>
        <w:tc>
          <w:tcPr>
            <w:tcW w:w="2537" w:type="dxa"/>
            <w:gridSpan w:val="2"/>
            <w:tcBorders>
              <w:top w:val="thinThickSmallGap" w:sz="24" w:space="0" w:color="auto"/>
              <w:right w:val="thinThickSmallGap" w:sz="24" w:space="0" w:color="auto"/>
            </w:tcBorders>
            <w:shd w:val="clear" w:color="auto" w:fill="auto"/>
            <w:vAlign w:val="center"/>
          </w:tcPr>
          <w:p w:rsidR="00B176CD" w:rsidRPr="00CD1075" w:rsidRDefault="00B176CD" w:rsidP="00944E2D">
            <w:pPr>
              <w:jc w:val="center"/>
            </w:pPr>
            <w:r w:rsidRPr="00CD1075">
              <w:t>Prihvaćanje/ neprihvaćanje primjedbe/ prijedloga sa obrazloženjem</w:t>
            </w:r>
          </w:p>
        </w:tc>
      </w:tr>
      <w:tr w:rsidR="00CD1075" w:rsidRPr="00CD1075" w:rsidTr="00596DF8">
        <w:tblPrEx>
          <w:tblBorders>
            <w:top w:val="single" w:sz="4" w:space="0" w:color="auto"/>
            <w:left w:val="single" w:sz="4" w:space="0" w:color="auto"/>
            <w:bottom w:val="single" w:sz="4" w:space="0" w:color="auto"/>
            <w:right w:val="single" w:sz="4" w:space="0" w:color="auto"/>
            <w:insideV w:val="single" w:sz="4" w:space="0" w:color="auto"/>
          </w:tblBorders>
        </w:tblPrEx>
        <w:tc>
          <w:tcPr>
            <w:tcW w:w="720" w:type="dxa"/>
            <w:tcBorders>
              <w:left w:val="thinThickSmallGap" w:sz="24" w:space="0" w:color="auto"/>
            </w:tcBorders>
            <w:shd w:val="clear" w:color="auto" w:fill="auto"/>
          </w:tcPr>
          <w:p w:rsidR="00B176CD" w:rsidRPr="00CD1075" w:rsidRDefault="00B176CD" w:rsidP="00944E2D">
            <w:pPr>
              <w:rPr>
                <w:b/>
              </w:rPr>
            </w:pPr>
          </w:p>
        </w:tc>
        <w:tc>
          <w:tcPr>
            <w:tcW w:w="1799" w:type="dxa"/>
            <w:shd w:val="clear" w:color="auto" w:fill="auto"/>
          </w:tcPr>
          <w:p w:rsidR="00B176CD" w:rsidRPr="00CD1075" w:rsidRDefault="00B176CD" w:rsidP="00944E2D"/>
        </w:tc>
        <w:tc>
          <w:tcPr>
            <w:tcW w:w="1629" w:type="dxa"/>
            <w:shd w:val="clear" w:color="auto" w:fill="auto"/>
          </w:tcPr>
          <w:p w:rsidR="00B176CD" w:rsidRPr="00CD1075" w:rsidRDefault="00B176CD" w:rsidP="00944E2D"/>
        </w:tc>
        <w:tc>
          <w:tcPr>
            <w:tcW w:w="3625" w:type="dxa"/>
            <w:shd w:val="clear" w:color="auto" w:fill="auto"/>
          </w:tcPr>
          <w:p w:rsidR="00B176CD" w:rsidRPr="00CD1075" w:rsidRDefault="00B176CD" w:rsidP="00944E2D">
            <w:pPr>
              <w:jc w:val="both"/>
            </w:pPr>
          </w:p>
        </w:tc>
        <w:tc>
          <w:tcPr>
            <w:tcW w:w="2537" w:type="dxa"/>
            <w:gridSpan w:val="2"/>
            <w:tcBorders>
              <w:right w:val="thinThickSmallGap" w:sz="24" w:space="0" w:color="auto"/>
            </w:tcBorders>
            <w:shd w:val="clear" w:color="auto" w:fill="auto"/>
          </w:tcPr>
          <w:p w:rsidR="00B176CD" w:rsidRPr="00CD1075" w:rsidRDefault="00B176CD" w:rsidP="00944E2D">
            <w:pPr>
              <w:shd w:val="clear" w:color="auto" w:fill="FFFFFF"/>
            </w:pPr>
          </w:p>
        </w:tc>
      </w:tr>
      <w:tr w:rsidR="00CD1075" w:rsidRPr="00CD1075" w:rsidTr="00596DF8">
        <w:tblPrEx>
          <w:tblBorders>
            <w:top w:val="single" w:sz="4" w:space="0" w:color="auto"/>
            <w:left w:val="single" w:sz="4" w:space="0" w:color="auto"/>
            <w:bottom w:val="single" w:sz="4" w:space="0" w:color="auto"/>
            <w:right w:val="single" w:sz="4" w:space="0" w:color="auto"/>
            <w:insideV w:val="single" w:sz="4" w:space="0" w:color="auto"/>
          </w:tblBorders>
        </w:tblPrEx>
        <w:tc>
          <w:tcPr>
            <w:tcW w:w="720" w:type="dxa"/>
            <w:tcBorders>
              <w:left w:val="thinThickSmallGap" w:sz="24" w:space="0" w:color="auto"/>
            </w:tcBorders>
            <w:shd w:val="clear" w:color="auto" w:fill="auto"/>
          </w:tcPr>
          <w:p w:rsidR="00B176CD" w:rsidRPr="00CD1075" w:rsidRDefault="00B176CD" w:rsidP="00944E2D">
            <w:pPr>
              <w:rPr>
                <w:b/>
              </w:rPr>
            </w:pPr>
            <w:r w:rsidRPr="00CD1075">
              <w:rPr>
                <w:b/>
              </w:rPr>
              <w:t>1.</w:t>
            </w:r>
          </w:p>
        </w:tc>
        <w:tc>
          <w:tcPr>
            <w:tcW w:w="1799" w:type="dxa"/>
            <w:shd w:val="clear" w:color="auto" w:fill="auto"/>
          </w:tcPr>
          <w:p w:rsidR="00B176CD" w:rsidRPr="00CD1075" w:rsidRDefault="00B176CD" w:rsidP="00944E2D">
            <w:r w:rsidRPr="00CD1075">
              <w:t>Udruga za unapređenje kvalitete življenja „LET“</w:t>
            </w:r>
          </w:p>
        </w:tc>
        <w:tc>
          <w:tcPr>
            <w:tcW w:w="1629" w:type="dxa"/>
            <w:shd w:val="clear" w:color="auto" w:fill="auto"/>
          </w:tcPr>
          <w:p w:rsidR="00B176CD" w:rsidRPr="00CD1075" w:rsidRDefault="008E682D" w:rsidP="00944E2D">
            <w:r w:rsidRPr="00CD1075">
              <w:t>Načelne primjedbe i prijedlozi na predloženi nacrt akta s obrazloženjem</w:t>
            </w:r>
          </w:p>
        </w:tc>
        <w:tc>
          <w:tcPr>
            <w:tcW w:w="3625" w:type="dxa"/>
            <w:shd w:val="clear" w:color="auto" w:fill="auto"/>
          </w:tcPr>
          <w:p w:rsidR="00B176CD" w:rsidRPr="00CD1075" w:rsidRDefault="00B176CD" w:rsidP="00B176CD">
            <w:pPr>
              <w:jc w:val="both"/>
            </w:pPr>
            <w:r w:rsidRPr="00CD1075">
              <w:t>Dokument pokazuje opredijeljenost strateškom planiranju, detaljno je obrazložen, utemeljen na pokazateljima te pokazuje stručan pristup pitanju zdravlja.</w:t>
            </w:r>
          </w:p>
          <w:p w:rsidR="00B176CD" w:rsidRPr="00CD1075" w:rsidRDefault="00B176CD" w:rsidP="00B176CD">
            <w:pPr>
              <w:jc w:val="both"/>
            </w:pPr>
          </w:p>
          <w:p w:rsidR="00B176CD" w:rsidRPr="00CD1075" w:rsidRDefault="00B176CD" w:rsidP="00B176CD">
            <w:r w:rsidRPr="00CD1075">
              <w:t xml:space="preserve">Nedostaje veća poveznica sa drugim sustavima poput socijalne skrbi, obrazovanja, stambene politike, kulture i duhovnosti. Definicija zdravlja prema Svjetskoj zdravstvenoj organizaciji </w:t>
            </w:r>
            <w:proofErr w:type="spellStart"/>
            <w:r w:rsidRPr="00CD1075">
              <w:t>predmjeva</w:t>
            </w:r>
            <w:proofErr w:type="spellEnd"/>
            <w:r w:rsidRPr="00CD1075">
              <w:t xml:space="preserve"> da zdravlje nije samo odsustvo bolesti ili simptoma. </w:t>
            </w:r>
          </w:p>
          <w:p w:rsidR="00B176CD" w:rsidRPr="00CD1075" w:rsidRDefault="00B176CD" w:rsidP="00B176CD">
            <w:pPr>
              <w:jc w:val="both"/>
            </w:pPr>
          </w:p>
          <w:p w:rsidR="00B176CD" w:rsidRPr="00CD1075" w:rsidRDefault="00B176CD" w:rsidP="00944E2D">
            <w:pPr>
              <w:jc w:val="both"/>
            </w:pPr>
          </w:p>
        </w:tc>
        <w:tc>
          <w:tcPr>
            <w:tcW w:w="2537" w:type="dxa"/>
            <w:gridSpan w:val="2"/>
            <w:tcBorders>
              <w:right w:val="thinThickSmallGap" w:sz="24" w:space="0" w:color="auto"/>
            </w:tcBorders>
            <w:shd w:val="clear" w:color="auto" w:fill="auto"/>
          </w:tcPr>
          <w:p w:rsidR="00B176CD" w:rsidRPr="00CD1075" w:rsidRDefault="00B176CD" w:rsidP="00944E2D">
            <w:pPr>
              <w:shd w:val="clear" w:color="auto" w:fill="FFFFFF"/>
            </w:pPr>
            <w:r w:rsidRPr="00CD1075">
              <w:t>Pri</w:t>
            </w:r>
            <w:bookmarkStart w:id="0" w:name="_GoBack"/>
            <w:bookmarkEnd w:id="0"/>
            <w:r w:rsidRPr="00CD1075">
              <w:t>mljeno na znanje</w:t>
            </w:r>
          </w:p>
        </w:tc>
      </w:tr>
      <w:tr w:rsidR="00CD1075" w:rsidRPr="00CD1075" w:rsidTr="00E24899">
        <w:tblPrEx>
          <w:tblBorders>
            <w:top w:val="single" w:sz="4" w:space="0" w:color="auto"/>
            <w:left w:val="single" w:sz="4" w:space="0" w:color="auto"/>
            <w:bottom w:val="single" w:sz="4" w:space="0" w:color="auto"/>
            <w:right w:val="single" w:sz="4" w:space="0" w:color="auto"/>
            <w:insideV w:val="single" w:sz="4" w:space="0" w:color="auto"/>
          </w:tblBorders>
        </w:tblPrEx>
        <w:trPr>
          <w:trHeight w:val="70"/>
        </w:trPr>
        <w:tc>
          <w:tcPr>
            <w:tcW w:w="720" w:type="dxa"/>
            <w:tcBorders>
              <w:left w:val="thinThickSmallGap" w:sz="24" w:space="0" w:color="auto"/>
            </w:tcBorders>
            <w:shd w:val="clear" w:color="auto" w:fill="auto"/>
          </w:tcPr>
          <w:p w:rsidR="00B176CD" w:rsidRPr="00CD1075" w:rsidRDefault="00B176CD" w:rsidP="00944E2D">
            <w:pPr>
              <w:rPr>
                <w:b/>
              </w:rPr>
            </w:pPr>
          </w:p>
        </w:tc>
        <w:tc>
          <w:tcPr>
            <w:tcW w:w="1799" w:type="dxa"/>
            <w:shd w:val="clear" w:color="auto" w:fill="auto"/>
          </w:tcPr>
          <w:p w:rsidR="00B176CD" w:rsidRPr="00CD1075" w:rsidRDefault="00B176CD" w:rsidP="00944E2D"/>
          <w:p w:rsidR="00B176CD" w:rsidRPr="00CD1075" w:rsidRDefault="00B176CD" w:rsidP="00944E2D"/>
        </w:tc>
        <w:tc>
          <w:tcPr>
            <w:tcW w:w="1629" w:type="dxa"/>
            <w:shd w:val="clear" w:color="auto" w:fill="auto"/>
          </w:tcPr>
          <w:p w:rsidR="00B176CD" w:rsidRPr="00CD1075" w:rsidRDefault="00B176CD" w:rsidP="00B176CD">
            <w:r w:rsidRPr="00CD1075">
              <w:t>Primjedbe i prijedlozi na pojedine članke nacrta prijedloga akta s obrazloženjem</w:t>
            </w:r>
          </w:p>
          <w:p w:rsidR="00B176CD" w:rsidRPr="00CD1075" w:rsidRDefault="00B176CD" w:rsidP="00944E2D"/>
        </w:tc>
        <w:tc>
          <w:tcPr>
            <w:tcW w:w="3625" w:type="dxa"/>
            <w:shd w:val="clear" w:color="auto" w:fill="auto"/>
          </w:tcPr>
          <w:p w:rsidR="00B176CD" w:rsidRPr="00CD1075" w:rsidRDefault="00B176CD" w:rsidP="00B176CD">
            <w:r w:rsidRPr="00CD1075">
              <w:t xml:space="preserve">U dokumentu nedostaje više naglaska na prevenciju ovisnosti, da li na primarnoj, sekundarnoj ili tercijarnoj razini. </w:t>
            </w:r>
          </w:p>
          <w:p w:rsidR="00B176CD" w:rsidRPr="00CD1075" w:rsidRDefault="00B176CD" w:rsidP="00B176CD">
            <w:r w:rsidRPr="00CD1075">
              <w:t xml:space="preserve">Udruga LET provodi programe smanjenja štete za područje grada Zagreba te u ovom trenutku pokriva preko 700 korisnika u direktnom tzv. primarnom obuhvatu te još 1500 korisnika u sekundarnom obuhvatu. </w:t>
            </w:r>
          </w:p>
          <w:p w:rsidR="00B176CD" w:rsidRPr="00CD1075" w:rsidRDefault="00B176CD" w:rsidP="00B176CD">
            <w:r w:rsidRPr="00CD1075">
              <w:t xml:space="preserve">Podaci za RH govore da oko 0.5% ovisnika živi sa HIV-om što je </w:t>
            </w:r>
            <w:r w:rsidRPr="00CD1075">
              <w:lastRenderedPageBreak/>
              <w:t>jedna od najnižih stopa HIV-a u navedenoj populaciji u svijetu.</w:t>
            </w:r>
          </w:p>
          <w:p w:rsidR="00B176CD" w:rsidRPr="00CD1075" w:rsidRDefault="00B176CD" w:rsidP="00B176CD">
            <w:r w:rsidRPr="00CD1075">
              <w:t>Važan razlog za tu nisku stopu HIV-a u populaciji pod povećanim rizikom se nalazi u činjenici da udruga LET podijeli preko 150000 igala godišnje uz ostali pribor za injektiranje. Tu je naravno i zbrinjavanje infektivnog otpada, pogotovo uklanjanje sa igrališta ili parkova.</w:t>
            </w:r>
          </w:p>
          <w:p w:rsidR="00B176CD" w:rsidRPr="00CD1075" w:rsidRDefault="00B176CD" w:rsidP="00B176CD">
            <w:r w:rsidRPr="00CD1075">
              <w:t>Naravno, programi smanjenja štete djeluju kao i poveznica između sustava zdravstva i socijalne skrbi.</w:t>
            </w:r>
          </w:p>
          <w:p w:rsidR="00B176CD" w:rsidRPr="00CD1075" w:rsidRDefault="00B176CD" w:rsidP="00B176CD">
            <w:r w:rsidRPr="00CD1075">
              <w:t>Grad Zagreb kontinuirano pruža podršku navedenom programu.</w:t>
            </w:r>
          </w:p>
          <w:p w:rsidR="00B176CD" w:rsidRPr="00CD1075" w:rsidRDefault="00B176CD" w:rsidP="00B176CD"/>
          <w:p w:rsidR="00B176CD" w:rsidRPr="00CD1075" w:rsidRDefault="00B176CD" w:rsidP="00B176CD">
            <w:r w:rsidRPr="00CD1075">
              <w:t xml:space="preserve">Na području zaštite spolnog i reproduktivnog zdravlja, udruga LET djeluje kroz program rada sa seksualnim radnicama i klijentima. Najbolje rezultate na ovom području u RH baš ima udruga LET sa 244 obuhvaćenih korisnica koje se bave većinom uličnim seksualnim radom.  </w:t>
            </w:r>
          </w:p>
          <w:p w:rsidR="00B176CD" w:rsidRPr="00CD1075" w:rsidRDefault="00B176CD" w:rsidP="00B176CD">
            <w:r w:rsidRPr="00CD1075">
              <w:t xml:space="preserve">Godišnje se podijeli oko 50 000 kondoma i 11 000 </w:t>
            </w:r>
            <w:proofErr w:type="spellStart"/>
            <w:r w:rsidRPr="00CD1075">
              <w:t>lubrikanata</w:t>
            </w:r>
            <w:proofErr w:type="spellEnd"/>
            <w:r w:rsidRPr="00CD1075">
              <w:t>. Također, djelatnici udruge LET nude savjetovanje i primarnu pravnu pomoć korisnicama kao i poveznicu prema skloništima za žrtve trgovanja ljudima i seksualne eksploatacije.</w:t>
            </w:r>
          </w:p>
          <w:p w:rsidR="00B176CD" w:rsidRPr="00CD1075" w:rsidRDefault="00B176CD" w:rsidP="00B176CD">
            <w:r w:rsidRPr="00CD1075">
              <w:t>Predlažemo otvaranje centra ili tzv. dnevnog boravka za korisnice kako bi se mogle skloniti sa kiše ili vjetra, dobiti konkretniju pomoć od sadašnje koja se doslovno pruža na ulicama grada te unaprijediti spektar usluga.</w:t>
            </w:r>
          </w:p>
          <w:p w:rsidR="00B176CD" w:rsidRPr="00CD1075" w:rsidRDefault="00B176CD" w:rsidP="00B176CD"/>
          <w:p w:rsidR="00B176CD" w:rsidRPr="00CD1075" w:rsidRDefault="00B176CD" w:rsidP="00B176CD"/>
          <w:p w:rsidR="00B176CD" w:rsidRPr="00CD1075" w:rsidRDefault="00B176CD" w:rsidP="00B176CD">
            <w:r w:rsidRPr="00CD1075">
              <w:t xml:space="preserve">Također je bitno u dokumentu naglasiti suradnju sa nevladinim sektorom na provođenju preventivnih programa, ali i programa psihosocijalne podrške prvenstveno osobama koje žive sa kroničnim i neizlječivim bolestima. </w:t>
            </w:r>
          </w:p>
          <w:p w:rsidR="00B176CD" w:rsidRPr="00CD1075" w:rsidRDefault="00B176CD" w:rsidP="00944E2D"/>
        </w:tc>
        <w:tc>
          <w:tcPr>
            <w:tcW w:w="2537" w:type="dxa"/>
            <w:gridSpan w:val="2"/>
            <w:tcBorders>
              <w:right w:val="thinThickSmallGap" w:sz="24" w:space="0" w:color="auto"/>
            </w:tcBorders>
            <w:shd w:val="clear" w:color="auto" w:fill="auto"/>
          </w:tcPr>
          <w:p w:rsidR="00E24899" w:rsidRPr="00EB774D" w:rsidRDefault="00B176CD" w:rsidP="00E24899">
            <w:pPr>
              <w:outlineLvl w:val="0"/>
              <w:rPr>
                <w:rFonts w:eastAsia="Calibri"/>
                <w:i/>
              </w:rPr>
            </w:pPr>
            <w:r w:rsidRPr="00CD1075">
              <w:lastRenderedPageBreak/>
              <w:t xml:space="preserve">Prijedlozi se ne prihvaćaju budući </w:t>
            </w:r>
            <w:r w:rsidR="00397414" w:rsidRPr="00CD1075">
              <w:t>da</w:t>
            </w:r>
            <w:r w:rsidR="00E24899" w:rsidRPr="00CD1075">
              <w:t xml:space="preserve"> je prevencija ovisnosti prioritet u </w:t>
            </w:r>
            <w:r w:rsidR="000A298D">
              <w:t>poglavlju 5. pod točka</w:t>
            </w:r>
            <w:r w:rsidR="00397414" w:rsidRPr="00CD1075">
              <w:t>m</w:t>
            </w:r>
            <w:r w:rsidR="000A298D">
              <w:t>a</w:t>
            </w:r>
            <w:r w:rsidR="00397414" w:rsidRPr="00CD1075">
              <w:t xml:space="preserve"> a</w:t>
            </w:r>
            <w:r w:rsidR="000A298D">
              <w:t>)</w:t>
            </w:r>
            <w:r w:rsidR="00397414" w:rsidRPr="00CD1075">
              <w:t xml:space="preserve"> i b</w:t>
            </w:r>
            <w:r w:rsidR="000A298D">
              <w:t>)</w:t>
            </w:r>
            <w:r w:rsidR="00397414" w:rsidRPr="00CD1075">
              <w:t>, te</w:t>
            </w:r>
            <w:r w:rsidR="000A298D">
              <w:t xml:space="preserve"> u</w:t>
            </w:r>
            <w:r w:rsidR="00397414" w:rsidRPr="00CD1075">
              <w:t xml:space="preserve"> slijedećim tablicama:</w:t>
            </w:r>
            <w:r w:rsidR="00E24899" w:rsidRPr="00CD1075">
              <w:t xml:space="preserve"> </w:t>
            </w:r>
            <w:r w:rsidR="00E24899" w:rsidRPr="00CD1075">
              <w:rPr>
                <w:rFonts w:eastAsia="Calibri"/>
              </w:rPr>
              <w:t xml:space="preserve">Tablica 1. </w:t>
            </w:r>
            <w:r w:rsidR="00E24899" w:rsidRPr="00EB774D">
              <w:rPr>
                <w:rFonts w:eastAsia="Calibri"/>
                <w:i/>
              </w:rPr>
              <w:t>Strateški okvir za promicanje zdravlja</w:t>
            </w:r>
            <w:r w:rsidR="00E24899" w:rsidRPr="00CD1075">
              <w:rPr>
                <w:rFonts w:eastAsia="Calibri"/>
              </w:rPr>
              <w:t xml:space="preserve"> ,Tablica 2. </w:t>
            </w:r>
            <w:r w:rsidR="00E24899" w:rsidRPr="00EB774D">
              <w:rPr>
                <w:rFonts w:eastAsia="Calibri"/>
                <w:i/>
              </w:rPr>
              <w:t>Plan promicanja zdravlja u okruženju,</w:t>
            </w:r>
            <w:r w:rsidR="00E24899" w:rsidRPr="00CD1075">
              <w:rPr>
                <w:rFonts w:eastAsia="Calibri"/>
              </w:rPr>
              <w:t xml:space="preserve"> Tablica 3</w:t>
            </w:r>
            <w:r w:rsidR="00E24899" w:rsidRPr="00CD1075">
              <w:rPr>
                <w:rFonts w:eastAsia="Calibri"/>
                <w:b/>
              </w:rPr>
              <w:t xml:space="preserve">. </w:t>
            </w:r>
            <w:r w:rsidR="00E24899" w:rsidRPr="00EB774D">
              <w:rPr>
                <w:rFonts w:eastAsia="Calibri"/>
                <w:i/>
              </w:rPr>
              <w:t>Plan promicanja zdravlja za ciljanu populaciju</w:t>
            </w:r>
            <w:r w:rsidR="00187C00" w:rsidRPr="00CD1075">
              <w:rPr>
                <w:rFonts w:eastAsia="Calibri"/>
              </w:rPr>
              <w:t xml:space="preserve"> </w:t>
            </w:r>
            <w:r w:rsidR="00187C00" w:rsidRPr="00CD1075">
              <w:rPr>
                <w:rFonts w:eastAsia="Calibri"/>
              </w:rPr>
              <w:lastRenderedPageBreak/>
              <w:t xml:space="preserve">Tablica 5. </w:t>
            </w:r>
            <w:r w:rsidR="00187C00" w:rsidRPr="00EB774D">
              <w:rPr>
                <w:rFonts w:eastAsia="Calibri"/>
                <w:i/>
              </w:rPr>
              <w:t>Plan promicanje zdravlja prema odabranim rizičnim čimbenicima za zdravlje za sve skupine građana. U nav</w:t>
            </w:r>
            <w:r w:rsidR="00682B78" w:rsidRPr="00EB774D">
              <w:rPr>
                <w:rFonts w:eastAsia="Calibri"/>
                <w:i/>
              </w:rPr>
              <w:t xml:space="preserve">edenom poglavlju u tablici pod </w:t>
            </w:r>
            <w:r w:rsidR="00187C00" w:rsidRPr="00EB774D">
              <w:rPr>
                <w:rFonts w:eastAsia="Calibri"/>
                <w:i/>
              </w:rPr>
              <w:t>rednim b</w:t>
            </w:r>
            <w:r w:rsidR="00397414" w:rsidRPr="00EB774D">
              <w:rPr>
                <w:rFonts w:eastAsia="Calibri"/>
                <w:i/>
              </w:rPr>
              <w:t>rojem 5 istaknut je i prioritet</w:t>
            </w:r>
            <w:r w:rsidR="00187C00" w:rsidRPr="00EB774D">
              <w:rPr>
                <w:rFonts w:eastAsia="Calibri"/>
                <w:i/>
              </w:rPr>
              <w:t xml:space="preserve"> prevenc</w:t>
            </w:r>
            <w:r w:rsidR="00397414" w:rsidRPr="00EB774D">
              <w:rPr>
                <w:rFonts w:eastAsia="Calibri"/>
                <w:i/>
              </w:rPr>
              <w:t>ije</w:t>
            </w:r>
            <w:r w:rsidR="00187C00" w:rsidRPr="00EB774D">
              <w:rPr>
                <w:rFonts w:eastAsia="Calibri"/>
                <w:i/>
              </w:rPr>
              <w:t xml:space="preserve"> HIV-a.</w:t>
            </w:r>
          </w:p>
          <w:p w:rsidR="00187C00" w:rsidRPr="00CD1075" w:rsidRDefault="00187C00" w:rsidP="00E24899">
            <w:pPr>
              <w:outlineLvl w:val="0"/>
              <w:rPr>
                <w:rFonts w:eastAsia="Calibri"/>
              </w:rPr>
            </w:pPr>
          </w:p>
          <w:p w:rsidR="00187C00" w:rsidRPr="00CD1075" w:rsidRDefault="00187C00" w:rsidP="006D5F3F">
            <w:pPr>
              <w:rPr>
                <w:rFonts w:eastAsia="Calibri"/>
                <w:lang w:val="en-AU"/>
              </w:rPr>
            </w:pPr>
            <w:r w:rsidRPr="00CD1075">
              <w:rPr>
                <w:rFonts w:eastAsia="Calibri"/>
                <w:lang w:val="en-AU"/>
              </w:rPr>
              <w:t xml:space="preserve">U </w:t>
            </w:r>
            <w:proofErr w:type="spellStart"/>
            <w:r w:rsidRPr="00CD1075">
              <w:rPr>
                <w:rFonts w:eastAsia="Calibri"/>
                <w:lang w:val="en-AU"/>
              </w:rPr>
              <w:t>poglavlju</w:t>
            </w:r>
            <w:proofErr w:type="spellEnd"/>
            <w:r w:rsidRPr="00CD1075">
              <w:rPr>
                <w:rFonts w:eastAsia="Calibri"/>
                <w:lang w:val="en-AU"/>
              </w:rPr>
              <w:t xml:space="preserve"> 6.2. </w:t>
            </w:r>
            <w:proofErr w:type="spellStart"/>
            <w:r w:rsidRPr="006D5F3F">
              <w:rPr>
                <w:rFonts w:eastAsia="Calibri"/>
                <w:i/>
                <w:lang w:val="en-AU"/>
              </w:rPr>
              <w:t>Prevencija</w:t>
            </w:r>
            <w:proofErr w:type="spellEnd"/>
            <w:r w:rsidRPr="006D5F3F">
              <w:rPr>
                <w:rFonts w:eastAsia="Calibri"/>
                <w:i/>
                <w:lang w:val="en-AU"/>
              </w:rPr>
              <w:t xml:space="preserve"> </w:t>
            </w:r>
            <w:proofErr w:type="spellStart"/>
            <w:r w:rsidRPr="006D5F3F">
              <w:rPr>
                <w:rFonts w:eastAsia="Calibri"/>
                <w:i/>
                <w:lang w:val="en-AU"/>
              </w:rPr>
              <w:t>i</w:t>
            </w:r>
            <w:proofErr w:type="spellEnd"/>
            <w:r w:rsidRPr="006D5F3F">
              <w:rPr>
                <w:rFonts w:eastAsia="Calibri"/>
                <w:i/>
                <w:lang w:val="en-AU"/>
              </w:rPr>
              <w:t xml:space="preserve"> </w:t>
            </w:r>
            <w:proofErr w:type="spellStart"/>
            <w:r w:rsidRPr="006D5F3F">
              <w:rPr>
                <w:rFonts w:eastAsia="Calibri"/>
                <w:i/>
                <w:lang w:val="en-AU"/>
              </w:rPr>
              <w:t>rano</w:t>
            </w:r>
            <w:proofErr w:type="spellEnd"/>
            <w:r w:rsidRPr="006D5F3F">
              <w:rPr>
                <w:rFonts w:eastAsia="Calibri"/>
                <w:i/>
                <w:lang w:val="en-AU"/>
              </w:rPr>
              <w:t xml:space="preserve"> </w:t>
            </w:r>
            <w:proofErr w:type="spellStart"/>
            <w:r w:rsidRPr="006D5F3F">
              <w:rPr>
                <w:rFonts w:eastAsia="Calibri"/>
                <w:i/>
                <w:lang w:val="en-AU"/>
              </w:rPr>
              <w:t>otkrivanje</w:t>
            </w:r>
            <w:proofErr w:type="spellEnd"/>
            <w:r w:rsidRPr="006D5F3F">
              <w:rPr>
                <w:rFonts w:eastAsia="Calibri"/>
                <w:i/>
                <w:lang w:val="en-AU"/>
              </w:rPr>
              <w:t xml:space="preserve"> </w:t>
            </w:r>
            <w:proofErr w:type="spellStart"/>
            <w:r w:rsidRPr="006D5F3F">
              <w:rPr>
                <w:rFonts w:eastAsia="Calibri"/>
                <w:i/>
                <w:lang w:val="en-AU"/>
              </w:rPr>
              <w:t>bolesti</w:t>
            </w:r>
            <w:proofErr w:type="spellEnd"/>
            <w:r w:rsidRPr="006D5F3F">
              <w:rPr>
                <w:rFonts w:eastAsia="Calibri"/>
                <w:i/>
                <w:lang w:val="en-AU"/>
              </w:rPr>
              <w:t xml:space="preserve"> u </w:t>
            </w:r>
            <w:proofErr w:type="spellStart"/>
            <w:r w:rsidRPr="006D5F3F">
              <w:rPr>
                <w:rFonts w:eastAsia="Calibri"/>
                <w:i/>
                <w:lang w:val="en-AU"/>
              </w:rPr>
              <w:t>dobnoj</w:t>
            </w:r>
            <w:proofErr w:type="spellEnd"/>
            <w:r w:rsidRPr="006D5F3F">
              <w:rPr>
                <w:rFonts w:eastAsia="Calibri"/>
                <w:i/>
                <w:lang w:val="en-AU"/>
              </w:rPr>
              <w:t xml:space="preserve"> </w:t>
            </w:r>
            <w:proofErr w:type="spellStart"/>
            <w:r w:rsidRPr="006D5F3F">
              <w:rPr>
                <w:rFonts w:eastAsia="Calibri"/>
                <w:i/>
                <w:lang w:val="en-AU"/>
              </w:rPr>
              <w:t>skupini</w:t>
            </w:r>
            <w:proofErr w:type="spellEnd"/>
            <w:r w:rsidRPr="006D5F3F">
              <w:rPr>
                <w:rFonts w:eastAsia="Calibri"/>
                <w:i/>
                <w:lang w:val="en-AU"/>
              </w:rPr>
              <w:t xml:space="preserve"> </w:t>
            </w:r>
            <w:proofErr w:type="spellStart"/>
            <w:r w:rsidRPr="006D5F3F">
              <w:rPr>
                <w:rFonts w:eastAsia="Calibri"/>
                <w:i/>
                <w:lang w:val="en-AU"/>
              </w:rPr>
              <w:t>školske</w:t>
            </w:r>
            <w:proofErr w:type="spellEnd"/>
            <w:r w:rsidRPr="006D5F3F">
              <w:rPr>
                <w:rFonts w:eastAsia="Calibri"/>
                <w:i/>
                <w:lang w:val="en-AU"/>
              </w:rPr>
              <w:t xml:space="preserve"> </w:t>
            </w:r>
            <w:proofErr w:type="spellStart"/>
            <w:r w:rsidRPr="006D5F3F">
              <w:rPr>
                <w:rFonts w:eastAsia="Calibri"/>
                <w:i/>
                <w:lang w:val="en-AU"/>
              </w:rPr>
              <w:t>djece</w:t>
            </w:r>
            <w:proofErr w:type="spellEnd"/>
            <w:r w:rsidRPr="00CD1075">
              <w:rPr>
                <w:rFonts w:eastAsia="Calibri"/>
                <w:lang w:val="en-AU"/>
              </w:rPr>
              <w:t xml:space="preserve"> </w:t>
            </w:r>
            <w:proofErr w:type="spellStart"/>
            <w:r w:rsidRPr="00CD1075">
              <w:rPr>
                <w:rFonts w:eastAsia="Calibri"/>
                <w:lang w:val="en-AU"/>
              </w:rPr>
              <w:t>posebno</w:t>
            </w:r>
            <w:proofErr w:type="spellEnd"/>
            <w:r w:rsidRPr="00CD1075">
              <w:rPr>
                <w:rFonts w:eastAsia="Calibri"/>
                <w:lang w:val="en-AU"/>
              </w:rPr>
              <w:t xml:space="preserve"> je </w:t>
            </w:r>
            <w:proofErr w:type="spellStart"/>
            <w:r w:rsidRPr="00CD1075">
              <w:rPr>
                <w:rFonts w:eastAsia="Calibri"/>
                <w:lang w:val="en-AU"/>
              </w:rPr>
              <w:t>istaknut</w:t>
            </w:r>
            <w:proofErr w:type="spellEnd"/>
            <w:r w:rsidRPr="00CD1075">
              <w:rPr>
                <w:rFonts w:eastAsia="Calibri"/>
                <w:lang w:val="en-AU"/>
              </w:rPr>
              <w:t xml:space="preserve"> </w:t>
            </w:r>
            <w:proofErr w:type="spellStart"/>
            <w:r w:rsidRPr="00CD1075">
              <w:rPr>
                <w:rFonts w:eastAsia="Calibri"/>
                <w:lang w:val="en-AU"/>
              </w:rPr>
              <w:t>skrining</w:t>
            </w:r>
            <w:proofErr w:type="spellEnd"/>
            <w:r w:rsidRPr="00CD1075">
              <w:rPr>
                <w:rFonts w:eastAsia="Calibri"/>
                <w:lang w:val="en-AU"/>
              </w:rPr>
              <w:t xml:space="preserve"> u </w:t>
            </w:r>
            <w:proofErr w:type="spellStart"/>
            <w:r w:rsidRPr="00CD1075">
              <w:rPr>
                <w:rFonts w:eastAsia="Calibri"/>
                <w:lang w:val="en-AU"/>
              </w:rPr>
              <w:t>populaciji</w:t>
            </w:r>
            <w:proofErr w:type="spellEnd"/>
            <w:r w:rsidRPr="00CD1075">
              <w:rPr>
                <w:rFonts w:eastAsia="Calibri"/>
                <w:lang w:val="en-AU"/>
              </w:rPr>
              <w:t xml:space="preserve"> </w:t>
            </w:r>
            <w:proofErr w:type="spellStart"/>
            <w:r w:rsidRPr="00CD1075">
              <w:rPr>
                <w:rFonts w:eastAsia="Calibri"/>
                <w:lang w:val="en-AU"/>
              </w:rPr>
              <w:t>djece</w:t>
            </w:r>
            <w:proofErr w:type="spellEnd"/>
            <w:r w:rsidRPr="00CD1075">
              <w:rPr>
                <w:rFonts w:eastAsia="Calibri"/>
                <w:lang w:val="en-AU"/>
              </w:rPr>
              <w:t xml:space="preserve">, </w:t>
            </w:r>
            <w:proofErr w:type="spellStart"/>
            <w:r w:rsidRPr="00CD1075">
              <w:rPr>
                <w:rFonts w:eastAsia="Calibri"/>
                <w:lang w:val="en-AU"/>
              </w:rPr>
              <w:t>mladih</w:t>
            </w:r>
            <w:proofErr w:type="spellEnd"/>
            <w:r w:rsidRPr="00CD1075">
              <w:rPr>
                <w:rFonts w:eastAsia="Calibri"/>
                <w:lang w:val="en-AU"/>
              </w:rPr>
              <w:t xml:space="preserve"> </w:t>
            </w:r>
            <w:proofErr w:type="spellStart"/>
            <w:r w:rsidRPr="00CD1075">
              <w:rPr>
                <w:rFonts w:eastAsia="Calibri"/>
                <w:lang w:val="en-AU"/>
              </w:rPr>
              <w:t>i</w:t>
            </w:r>
            <w:proofErr w:type="spellEnd"/>
            <w:r w:rsidRPr="00CD1075">
              <w:rPr>
                <w:rFonts w:eastAsia="Calibri"/>
                <w:lang w:val="en-AU"/>
              </w:rPr>
              <w:t xml:space="preserve"> </w:t>
            </w:r>
            <w:proofErr w:type="spellStart"/>
            <w:r w:rsidRPr="00CD1075">
              <w:rPr>
                <w:rFonts w:eastAsia="Calibri"/>
                <w:lang w:val="en-AU"/>
              </w:rPr>
              <w:t>studenata</w:t>
            </w:r>
            <w:proofErr w:type="spellEnd"/>
            <w:r w:rsidRPr="00CD1075">
              <w:rPr>
                <w:rFonts w:eastAsia="Calibri"/>
                <w:lang w:val="en-AU"/>
              </w:rPr>
              <w:t xml:space="preserve"> </w:t>
            </w:r>
            <w:proofErr w:type="spellStart"/>
            <w:r w:rsidRPr="00CD1075">
              <w:rPr>
                <w:rFonts w:eastAsia="Calibri"/>
                <w:lang w:val="en-AU"/>
              </w:rPr>
              <w:t>na</w:t>
            </w:r>
            <w:proofErr w:type="spellEnd"/>
            <w:r w:rsidRPr="00CD1075">
              <w:rPr>
                <w:rFonts w:eastAsia="Calibri"/>
                <w:lang w:val="en-AU"/>
              </w:rPr>
              <w:t xml:space="preserve"> </w:t>
            </w:r>
            <w:proofErr w:type="spellStart"/>
            <w:r w:rsidRPr="00CD1075">
              <w:rPr>
                <w:rFonts w:eastAsia="Calibri"/>
                <w:lang w:val="en-AU"/>
              </w:rPr>
              <w:t>psihoaktivne</w:t>
            </w:r>
            <w:proofErr w:type="spellEnd"/>
            <w:r w:rsidRPr="00CD1075">
              <w:rPr>
                <w:rFonts w:eastAsia="Calibri"/>
                <w:lang w:val="en-AU"/>
              </w:rPr>
              <w:t xml:space="preserve"> </w:t>
            </w:r>
            <w:proofErr w:type="spellStart"/>
            <w:r w:rsidRPr="00CD1075">
              <w:rPr>
                <w:rFonts w:eastAsia="Calibri"/>
                <w:lang w:val="en-AU"/>
              </w:rPr>
              <w:t>tvari</w:t>
            </w:r>
            <w:proofErr w:type="spellEnd"/>
            <w:r w:rsidRPr="00CD1075">
              <w:rPr>
                <w:rFonts w:eastAsia="Calibri"/>
                <w:lang w:val="en-AU"/>
              </w:rPr>
              <w:t xml:space="preserve">, </w:t>
            </w:r>
            <w:proofErr w:type="spellStart"/>
            <w:r w:rsidRPr="00CD1075">
              <w:rPr>
                <w:rFonts w:eastAsia="Calibri"/>
                <w:lang w:val="en-AU"/>
              </w:rPr>
              <w:t>uključujući</w:t>
            </w:r>
            <w:proofErr w:type="spellEnd"/>
            <w:r w:rsidRPr="00CD1075">
              <w:rPr>
                <w:rFonts w:eastAsia="Calibri"/>
                <w:lang w:val="en-AU"/>
              </w:rPr>
              <w:t xml:space="preserve"> </w:t>
            </w:r>
            <w:proofErr w:type="spellStart"/>
            <w:r w:rsidRPr="00CD1075">
              <w:rPr>
                <w:rFonts w:eastAsia="Calibri"/>
                <w:lang w:val="en-AU"/>
              </w:rPr>
              <w:t>i</w:t>
            </w:r>
            <w:proofErr w:type="spellEnd"/>
            <w:r w:rsidRPr="00CD1075">
              <w:rPr>
                <w:rFonts w:eastAsia="Calibri"/>
                <w:lang w:val="en-AU"/>
              </w:rPr>
              <w:t xml:space="preserve"> </w:t>
            </w:r>
            <w:proofErr w:type="spellStart"/>
            <w:r w:rsidRPr="00CD1075">
              <w:rPr>
                <w:rFonts w:eastAsia="Calibri"/>
                <w:lang w:val="en-AU"/>
              </w:rPr>
              <w:t>mjere</w:t>
            </w:r>
            <w:proofErr w:type="spellEnd"/>
            <w:r w:rsidRPr="00CD1075">
              <w:rPr>
                <w:rFonts w:eastAsia="Calibri"/>
                <w:lang w:val="en-AU"/>
              </w:rPr>
              <w:t xml:space="preserve"> </w:t>
            </w:r>
            <w:proofErr w:type="spellStart"/>
            <w:r w:rsidR="00397414" w:rsidRPr="00CD1075">
              <w:rPr>
                <w:rFonts w:eastAsia="Calibri"/>
                <w:lang w:val="en-AU"/>
              </w:rPr>
              <w:t>testiranja</w:t>
            </w:r>
            <w:proofErr w:type="spellEnd"/>
            <w:r w:rsidR="00397414" w:rsidRPr="00CD1075">
              <w:rPr>
                <w:rFonts w:eastAsia="Calibri"/>
                <w:lang w:val="en-AU"/>
              </w:rPr>
              <w:t xml:space="preserve"> </w:t>
            </w:r>
            <w:proofErr w:type="spellStart"/>
            <w:r w:rsidR="00397414" w:rsidRPr="00CD1075">
              <w:rPr>
                <w:rFonts w:eastAsia="Calibri"/>
                <w:lang w:val="en-AU"/>
              </w:rPr>
              <w:t>na</w:t>
            </w:r>
            <w:proofErr w:type="spellEnd"/>
            <w:r w:rsidR="00397414" w:rsidRPr="00CD1075">
              <w:rPr>
                <w:rFonts w:eastAsia="Calibri"/>
                <w:lang w:val="en-AU"/>
              </w:rPr>
              <w:t xml:space="preserve"> HIV </w:t>
            </w:r>
            <w:proofErr w:type="spellStart"/>
            <w:r w:rsidR="00397414" w:rsidRPr="00CD1075">
              <w:rPr>
                <w:rFonts w:eastAsia="Calibri"/>
                <w:lang w:val="en-AU"/>
              </w:rPr>
              <w:t>i</w:t>
            </w:r>
            <w:proofErr w:type="spellEnd"/>
            <w:r w:rsidR="00397414" w:rsidRPr="00CD1075">
              <w:rPr>
                <w:rFonts w:eastAsia="Calibri"/>
                <w:lang w:val="en-AU"/>
              </w:rPr>
              <w:t xml:space="preserve"> hepatitis C,</w:t>
            </w:r>
            <w:r w:rsidRPr="00CD1075">
              <w:rPr>
                <w:rFonts w:eastAsia="Calibri"/>
                <w:lang w:val="en-AU"/>
              </w:rPr>
              <w:t xml:space="preserve"> </w:t>
            </w:r>
            <w:proofErr w:type="spellStart"/>
            <w:r w:rsidR="005A0A27" w:rsidRPr="00CD1075">
              <w:rPr>
                <w:rFonts w:eastAsia="Calibri"/>
                <w:lang w:val="en-AU"/>
              </w:rPr>
              <w:t>te</w:t>
            </w:r>
            <w:proofErr w:type="spellEnd"/>
            <w:r w:rsidR="005A0A27" w:rsidRPr="00CD1075">
              <w:rPr>
                <w:rFonts w:eastAsia="Calibri"/>
                <w:lang w:val="en-AU"/>
              </w:rPr>
              <w:t xml:space="preserve"> u </w:t>
            </w:r>
            <w:proofErr w:type="spellStart"/>
            <w:r w:rsidR="005A0A27" w:rsidRPr="00CD1075">
              <w:rPr>
                <w:rFonts w:eastAsia="Calibri"/>
                <w:lang w:val="en-AU"/>
              </w:rPr>
              <w:t>poglavlju</w:t>
            </w:r>
            <w:proofErr w:type="spellEnd"/>
            <w:r w:rsidR="00397414" w:rsidRPr="00CD1075">
              <w:rPr>
                <w:rFonts w:eastAsia="Calibri"/>
                <w:lang w:val="en-AU"/>
              </w:rPr>
              <w:t xml:space="preserve"> </w:t>
            </w:r>
            <w:r w:rsidR="005A0A27" w:rsidRPr="00CD1075">
              <w:rPr>
                <w:rFonts w:eastAsia="Calibri"/>
                <w:lang w:val="en-AU"/>
              </w:rPr>
              <w:t xml:space="preserve">6.3. </w:t>
            </w:r>
            <w:proofErr w:type="spellStart"/>
            <w:r w:rsidR="005A0A27" w:rsidRPr="006D5F3F">
              <w:rPr>
                <w:rFonts w:eastAsia="Calibri"/>
                <w:i/>
                <w:lang w:val="en-AU"/>
              </w:rPr>
              <w:t>P</w:t>
            </w:r>
            <w:r w:rsidR="00E158C4" w:rsidRPr="006D5F3F">
              <w:rPr>
                <w:rFonts w:eastAsia="Calibri"/>
                <w:i/>
                <w:lang w:val="en-AU"/>
              </w:rPr>
              <w:t>rev</w:t>
            </w:r>
            <w:r w:rsidR="00397414" w:rsidRPr="006D5F3F">
              <w:rPr>
                <w:rFonts w:eastAsia="Calibri"/>
                <w:i/>
                <w:lang w:val="en-AU"/>
              </w:rPr>
              <w:t>encija</w:t>
            </w:r>
            <w:proofErr w:type="spellEnd"/>
            <w:r w:rsidR="00397414" w:rsidRPr="006D5F3F">
              <w:rPr>
                <w:rFonts w:eastAsia="Calibri"/>
                <w:i/>
                <w:lang w:val="en-AU"/>
              </w:rPr>
              <w:t xml:space="preserve"> u </w:t>
            </w:r>
            <w:proofErr w:type="spellStart"/>
            <w:r w:rsidR="00397414" w:rsidRPr="006D5F3F">
              <w:rPr>
                <w:rFonts w:eastAsia="Calibri"/>
                <w:i/>
                <w:lang w:val="en-AU"/>
              </w:rPr>
              <w:t>odrasloj</w:t>
            </w:r>
            <w:proofErr w:type="spellEnd"/>
            <w:r w:rsidR="00397414" w:rsidRPr="006D5F3F">
              <w:rPr>
                <w:rFonts w:eastAsia="Calibri"/>
                <w:i/>
                <w:lang w:val="en-AU"/>
              </w:rPr>
              <w:t xml:space="preserve"> </w:t>
            </w:r>
            <w:proofErr w:type="spellStart"/>
            <w:r w:rsidR="00397414" w:rsidRPr="006D5F3F">
              <w:rPr>
                <w:rFonts w:eastAsia="Calibri"/>
                <w:i/>
                <w:lang w:val="en-AU"/>
              </w:rPr>
              <w:t>dobi</w:t>
            </w:r>
            <w:proofErr w:type="spellEnd"/>
            <w:r w:rsidR="00397414" w:rsidRPr="00CD1075">
              <w:rPr>
                <w:rFonts w:eastAsia="Calibri"/>
                <w:lang w:val="en-AU"/>
              </w:rPr>
              <w:t xml:space="preserve">, </w:t>
            </w:r>
            <w:proofErr w:type="spellStart"/>
            <w:r w:rsidR="00682B78" w:rsidRPr="00CD1075">
              <w:rPr>
                <w:rFonts w:eastAsia="Calibri"/>
                <w:lang w:val="en-AU"/>
              </w:rPr>
              <w:t>tablica</w:t>
            </w:r>
            <w:proofErr w:type="spellEnd"/>
            <w:r w:rsidR="00682B78" w:rsidRPr="00CD1075">
              <w:rPr>
                <w:rFonts w:eastAsia="Calibri"/>
                <w:lang w:val="en-AU"/>
              </w:rPr>
              <w:t xml:space="preserve"> </w:t>
            </w:r>
            <w:proofErr w:type="spellStart"/>
            <w:r w:rsidR="00682B78" w:rsidRPr="00CD1075">
              <w:rPr>
                <w:rFonts w:eastAsia="Calibri"/>
                <w:lang w:val="en-AU"/>
              </w:rPr>
              <w:t>broj</w:t>
            </w:r>
            <w:proofErr w:type="spellEnd"/>
            <w:r w:rsidR="00682B78" w:rsidRPr="00CD1075">
              <w:rPr>
                <w:rFonts w:eastAsia="Calibri"/>
                <w:lang w:val="en-AU"/>
              </w:rPr>
              <w:t xml:space="preserve"> 10</w:t>
            </w:r>
            <w:r w:rsidR="006D5F3F">
              <w:rPr>
                <w:rFonts w:eastAsia="Calibri"/>
                <w:lang w:val="en-AU"/>
              </w:rPr>
              <w:t>.</w:t>
            </w:r>
            <w:r w:rsidR="00682B78" w:rsidRPr="00CD1075">
              <w:rPr>
                <w:rFonts w:eastAsia="Calibri"/>
                <w:lang w:val="en-AU"/>
              </w:rPr>
              <w:t>, u</w:t>
            </w:r>
            <w:r w:rsidR="00E158C4" w:rsidRPr="00CD1075">
              <w:rPr>
                <w:rFonts w:eastAsia="Calibri"/>
                <w:lang w:val="en-AU"/>
              </w:rPr>
              <w:t xml:space="preserve"> </w:t>
            </w:r>
            <w:proofErr w:type="spellStart"/>
            <w:r w:rsidR="00E158C4" w:rsidRPr="00CD1075">
              <w:rPr>
                <w:rFonts w:eastAsia="Calibri"/>
                <w:lang w:val="en-AU"/>
              </w:rPr>
              <w:t>dijelu</w:t>
            </w:r>
            <w:proofErr w:type="spellEnd"/>
            <w:r w:rsidR="00E158C4" w:rsidRPr="00CD1075">
              <w:rPr>
                <w:rFonts w:eastAsia="Calibri"/>
                <w:lang w:val="en-AU"/>
              </w:rPr>
              <w:t xml:space="preserve"> </w:t>
            </w:r>
            <w:proofErr w:type="spellStart"/>
            <w:r w:rsidR="00E158C4" w:rsidRPr="00CD1075">
              <w:rPr>
                <w:rFonts w:eastAsia="Calibri"/>
                <w:lang w:val="en-AU"/>
              </w:rPr>
              <w:t>provedbenih</w:t>
            </w:r>
            <w:proofErr w:type="spellEnd"/>
            <w:r w:rsidR="00E158C4" w:rsidRPr="00CD1075">
              <w:rPr>
                <w:rFonts w:eastAsia="Calibri"/>
                <w:lang w:val="en-AU"/>
              </w:rPr>
              <w:t xml:space="preserve"> </w:t>
            </w:r>
            <w:proofErr w:type="spellStart"/>
            <w:r w:rsidR="00E158C4" w:rsidRPr="00CD1075">
              <w:rPr>
                <w:rFonts w:eastAsia="Calibri"/>
                <w:lang w:val="en-AU"/>
              </w:rPr>
              <w:t>aktivnosti</w:t>
            </w:r>
            <w:proofErr w:type="spellEnd"/>
            <w:r w:rsidR="00E158C4" w:rsidRPr="00CD1075">
              <w:rPr>
                <w:rFonts w:eastAsia="Calibri"/>
                <w:lang w:val="en-AU"/>
              </w:rPr>
              <w:t xml:space="preserve"> </w:t>
            </w:r>
            <w:proofErr w:type="spellStart"/>
            <w:r w:rsidR="00E158C4" w:rsidRPr="00CD1075">
              <w:rPr>
                <w:rFonts w:eastAsia="Calibri"/>
                <w:lang w:val="en-AU"/>
              </w:rPr>
              <w:t>zdravstvenog</w:t>
            </w:r>
            <w:proofErr w:type="spellEnd"/>
            <w:r w:rsidR="00E158C4" w:rsidRPr="00CD1075">
              <w:rPr>
                <w:rFonts w:eastAsia="Calibri"/>
                <w:lang w:val="en-AU"/>
              </w:rPr>
              <w:t xml:space="preserve"> </w:t>
            </w:r>
            <w:proofErr w:type="spellStart"/>
            <w:r w:rsidR="00E158C4" w:rsidRPr="00CD1075">
              <w:rPr>
                <w:rFonts w:eastAsia="Calibri"/>
                <w:lang w:val="en-AU"/>
              </w:rPr>
              <w:t>odgoja</w:t>
            </w:r>
            <w:proofErr w:type="spellEnd"/>
            <w:r w:rsidR="00E158C4" w:rsidRPr="00CD1075">
              <w:rPr>
                <w:rFonts w:eastAsia="Calibri"/>
                <w:lang w:val="en-AU"/>
              </w:rPr>
              <w:t xml:space="preserve"> </w:t>
            </w:r>
            <w:proofErr w:type="spellStart"/>
            <w:r w:rsidR="00682B78" w:rsidRPr="00CD1075">
              <w:rPr>
                <w:rFonts w:eastAsia="Calibri"/>
                <w:lang w:val="en-AU"/>
              </w:rPr>
              <w:t>i</w:t>
            </w:r>
            <w:proofErr w:type="spellEnd"/>
            <w:r w:rsidR="00E158C4" w:rsidRPr="00CD1075">
              <w:rPr>
                <w:rFonts w:eastAsia="Calibri"/>
                <w:lang w:val="en-AU"/>
              </w:rPr>
              <w:t xml:space="preserve"> </w:t>
            </w:r>
            <w:proofErr w:type="spellStart"/>
            <w:r w:rsidR="00E158C4" w:rsidRPr="00CD1075">
              <w:rPr>
                <w:rFonts w:eastAsia="Calibri"/>
                <w:lang w:val="en-AU"/>
              </w:rPr>
              <w:t>aktivnosti</w:t>
            </w:r>
            <w:proofErr w:type="spellEnd"/>
            <w:r w:rsidR="00E158C4" w:rsidRPr="00CD1075">
              <w:rPr>
                <w:rFonts w:eastAsia="Calibri"/>
                <w:lang w:val="en-AU"/>
              </w:rPr>
              <w:t xml:space="preserve"> </w:t>
            </w:r>
            <w:proofErr w:type="spellStart"/>
            <w:r w:rsidR="00E158C4" w:rsidRPr="00CD1075">
              <w:rPr>
                <w:rFonts w:eastAsia="Calibri"/>
                <w:lang w:val="en-AU"/>
              </w:rPr>
              <w:t>prevencije</w:t>
            </w:r>
            <w:proofErr w:type="spellEnd"/>
            <w:r w:rsidR="00E158C4" w:rsidRPr="00CD1075">
              <w:rPr>
                <w:rFonts w:eastAsia="Calibri"/>
                <w:lang w:val="en-AU"/>
              </w:rPr>
              <w:t xml:space="preserve"> </w:t>
            </w:r>
            <w:proofErr w:type="spellStart"/>
            <w:r w:rsidR="00E158C4" w:rsidRPr="00CD1075">
              <w:rPr>
                <w:rFonts w:eastAsia="Calibri"/>
                <w:lang w:val="en-AU"/>
              </w:rPr>
              <w:t>zaraznih</w:t>
            </w:r>
            <w:proofErr w:type="spellEnd"/>
            <w:r w:rsidR="00E158C4" w:rsidRPr="00CD1075">
              <w:rPr>
                <w:rFonts w:eastAsia="Calibri"/>
                <w:lang w:val="en-AU"/>
              </w:rPr>
              <w:t xml:space="preserve"> </w:t>
            </w:r>
            <w:proofErr w:type="spellStart"/>
            <w:r w:rsidR="00E158C4" w:rsidRPr="00CD1075">
              <w:rPr>
                <w:rFonts w:eastAsia="Calibri"/>
                <w:lang w:val="en-AU"/>
              </w:rPr>
              <w:t>bolesti</w:t>
            </w:r>
            <w:proofErr w:type="spellEnd"/>
            <w:r w:rsidR="00E158C4" w:rsidRPr="00CD1075">
              <w:rPr>
                <w:rFonts w:eastAsia="Calibri"/>
                <w:lang w:val="en-AU"/>
              </w:rPr>
              <w:t xml:space="preserve">. </w:t>
            </w:r>
          </w:p>
          <w:p w:rsidR="00E24899" w:rsidRPr="00CD1075" w:rsidRDefault="00E24899" w:rsidP="00E24899">
            <w:pPr>
              <w:outlineLvl w:val="0"/>
              <w:rPr>
                <w:rFonts w:eastAsia="Calibri"/>
                <w:i/>
              </w:rPr>
            </w:pPr>
          </w:p>
          <w:p w:rsidR="00F2454A" w:rsidRPr="00CD1075" w:rsidRDefault="00F2454A" w:rsidP="00944E2D">
            <w:pPr>
              <w:shd w:val="clear" w:color="auto" w:fill="FFFFFF"/>
            </w:pPr>
          </w:p>
          <w:p w:rsidR="005A0A27" w:rsidRPr="00CD1075" w:rsidRDefault="00187C00" w:rsidP="008E682D">
            <w:pPr>
              <w:shd w:val="clear" w:color="auto" w:fill="FFFFFF"/>
            </w:pPr>
            <w:r w:rsidRPr="00CD1075">
              <w:t xml:space="preserve">Važno je istaknuti da je Grad Zagreb u cilju prevencije ovisnosti i smanjenja štete ima i zasebne važeće dokumente u kojima su </w:t>
            </w:r>
            <w:r w:rsidR="005A0A27" w:rsidRPr="00CD1075">
              <w:t xml:space="preserve">zasebno </w:t>
            </w:r>
            <w:r w:rsidRPr="00CD1075">
              <w:t xml:space="preserve">definirane </w:t>
            </w:r>
            <w:r w:rsidR="005A0A27" w:rsidRPr="00CD1075">
              <w:t xml:space="preserve">navedene predložene primjedbe. Tako je prevencija ovisnosti i smanjenje štete jedan od prioriteta koji se posebno ističe i u dokumentu Programi financiranja udruga iz područja ZAŠTITA ZDRAVLJA. </w:t>
            </w:r>
            <w:r w:rsidR="005A0A27" w:rsidRPr="00CD1075">
              <w:lastRenderedPageBreak/>
              <w:t>Navedenim Programom definirana je suradnja u navedenom području isključivo u suradnji s OCD</w:t>
            </w:r>
            <w:r w:rsidR="00E158C4" w:rsidRPr="00CD1075">
              <w:t xml:space="preserve"> uključujući i psihosocijalnu podršku</w:t>
            </w:r>
            <w:r w:rsidR="005A0A27" w:rsidRPr="00CD1075">
              <w:t xml:space="preserve">.  </w:t>
            </w:r>
          </w:p>
          <w:p w:rsidR="008E682D" w:rsidRPr="00CD1075" w:rsidRDefault="005A0A27" w:rsidP="008E682D">
            <w:pPr>
              <w:shd w:val="clear" w:color="auto" w:fill="FFFFFF"/>
            </w:pPr>
            <w:r w:rsidRPr="00CD1075">
              <w:t>U cilju prevencije ovisnosti i smanjenje štete doneseni su i važeći strateški dokumenti: Akcijski plan</w:t>
            </w:r>
            <w:r w:rsidR="00F2454A" w:rsidRPr="00CD1075">
              <w:t xml:space="preserve"> Grada Zagreba za prevenciju i suzbijanje zlouporabe droga i drugih oblika ovisnosti</w:t>
            </w:r>
            <w:r w:rsidR="008E682D" w:rsidRPr="00CD1075">
              <w:t xml:space="preserve"> za razdoblje 2014. –</w:t>
            </w:r>
            <w:r w:rsidR="007C19FD" w:rsidRPr="00CD1075">
              <w:t xml:space="preserve"> 2017</w:t>
            </w:r>
            <w:r w:rsidR="008E682D" w:rsidRPr="00CD1075">
              <w:t xml:space="preserve">. </w:t>
            </w:r>
            <w:r w:rsidR="00F2454A" w:rsidRPr="00CD1075">
              <w:t xml:space="preserve"> (Službeni glasnik Grada Zagreba 16/14 i 22/17)</w:t>
            </w:r>
            <w:r w:rsidRPr="00CD1075">
              <w:t xml:space="preserve">. Istim su </w:t>
            </w:r>
            <w:r w:rsidR="00F2454A" w:rsidRPr="00CD1075">
              <w:t xml:space="preserve"> utvrđeni ciljevi povećanja odgovornosti i unapređenja kvalitete provođenja nacionalne politike borbe protiv ovisnosti o drogama u gradu Zagrebu</w:t>
            </w:r>
            <w:r w:rsidRPr="00CD1075">
              <w:t xml:space="preserve"> uključujući i smanjenje štete</w:t>
            </w:r>
            <w:r w:rsidR="006D5F3F">
              <w:t>, te nema potrebe za traženom izmjenom.</w:t>
            </w:r>
          </w:p>
          <w:p w:rsidR="00B176CD" w:rsidRPr="00CD1075" w:rsidRDefault="00B176CD" w:rsidP="00FD5D4C">
            <w:pPr>
              <w:shd w:val="clear" w:color="auto" w:fill="FFFFFF"/>
            </w:pPr>
          </w:p>
        </w:tc>
      </w:tr>
    </w:tbl>
    <w:p w:rsidR="00FA36D7" w:rsidRPr="00CD1075" w:rsidRDefault="00FA36D7"/>
    <w:sectPr w:rsidR="00FA36D7" w:rsidRPr="00CD1075" w:rsidSect="00487368">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D7"/>
    <w:rsid w:val="000A298D"/>
    <w:rsid w:val="00187C00"/>
    <w:rsid w:val="00242753"/>
    <w:rsid w:val="00386483"/>
    <w:rsid w:val="00397414"/>
    <w:rsid w:val="00575BBD"/>
    <w:rsid w:val="00596DF8"/>
    <w:rsid w:val="005A0A27"/>
    <w:rsid w:val="00682B78"/>
    <w:rsid w:val="006D5F3F"/>
    <w:rsid w:val="00756DC1"/>
    <w:rsid w:val="007C19FD"/>
    <w:rsid w:val="008A6354"/>
    <w:rsid w:val="008E682D"/>
    <w:rsid w:val="00B176CD"/>
    <w:rsid w:val="00CD1075"/>
    <w:rsid w:val="00E158C4"/>
    <w:rsid w:val="00E24899"/>
    <w:rsid w:val="00EB774D"/>
    <w:rsid w:val="00F2454A"/>
    <w:rsid w:val="00FA36D7"/>
    <w:rsid w:val="00FD5D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D13C"/>
  <w15:chartTrackingRefBased/>
  <w15:docId w15:val="{8F0811AB-7B6F-4D90-A3D2-7D11B541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6D7"/>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6CD"/>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8409">
      <w:bodyDiv w:val="1"/>
      <w:marLeft w:val="0"/>
      <w:marRight w:val="0"/>
      <w:marTop w:val="0"/>
      <w:marBottom w:val="0"/>
      <w:divBdr>
        <w:top w:val="none" w:sz="0" w:space="0" w:color="auto"/>
        <w:left w:val="none" w:sz="0" w:space="0" w:color="auto"/>
        <w:bottom w:val="none" w:sz="0" w:space="0" w:color="auto"/>
        <w:right w:val="none" w:sz="0" w:space="0" w:color="auto"/>
      </w:divBdr>
    </w:div>
    <w:div w:id="895967856">
      <w:bodyDiv w:val="1"/>
      <w:marLeft w:val="0"/>
      <w:marRight w:val="0"/>
      <w:marTop w:val="0"/>
      <w:marBottom w:val="0"/>
      <w:divBdr>
        <w:top w:val="none" w:sz="0" w:space="0" w:color="auto"/>
        <w:left w:val="none" w:sz="0" w:space="0" w:color="auto"/>
        <w:bottom w:val="none" w:sz="0" w:space="0" w:color="auto"/>
        <w:right w:val="none" w:sz="0" w:space="0" w:color="auto"/>
      </w:divBdr>
    </w:div>
    <w:div w:id="995304933">
      <w:bodyDiv w:val="1"/>
      <w:marLeft w:val="0"/>
      <w:marRight w:val="0"/>
      <w:marTop w:val="0"/>
      <w:marBottom w:val="0"/>
      <w:divBdr>
        <w:top w:val="none" w:sz="0" w:space="0" w:color="auto"/>
        <w:left w:val="none" w:sz="0" w:space="0" w:color="auto"/>
        <w:bottom w:val="none" w:sz="0" w:space="0" w:color="auto"/>
        <w:right w:val="none" w:sz="0" w:space="0" w:color="auto"/>
      </w:divBdr>
    </w:div>
    <w:div w:id="1732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Kontrec</dc:creator>
  <cp:keywords/>
  <dc:description/>
  <cp:lastModifiedBy>Mirna Kontrec</cp:lastModifiedBy>
  <cp:revision>2</cp:revision>
  <cp:lastPrinted>2018-11-14T10:29:00Z</cp:lastPrinted>
  <dcterms:created xsi:type="dcterms:W3CDTF">2018-11-14T14:24:00Z</dcterms:created>
  <dcterms:modified xsi:type="dcterms:W3CDTF">2018-11-14T14:24:00Z</dcterms:modified>
</cp:coreProperties>
</file>